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sz w:val="84"/>
          <w:szCs w:val="84"/>
          <w:highlight w:val="none"/>
          <w:u w:val="single"/>
        </w:rPr>
      </w:pPr>
    </w:p>
    <w:p>
      <w:pPr>
        <w:rPr>
          <w:color w:val="auto"/>
          <w:sz w:val="84"/>
          <w:szCs w:val="84"/>
          <w:highlight w:val="none"/>
          <w:u w:val="single"/>
        </w:rPr>
      </w:pPr>
    </w:p>
    <w:p>
      <w:pPr>
        <w:rPr>
          <w:color w:val="auto"/>
          <w:sz w:val="84"/>
          <w:szCs w:val="84"/>
          <w:highlight w:val="none"/>
          <w:u w:val="single"/>
        </w:rPr>
      </w:pPr>
    </w:p>
    <w:p>
      <w:pPr>
        <w:jc w:val="center"/>
        <w:outlineLvl w:val="0"/>
        <w:rPr>
          <w:color w:val="auto"/>
          <w:sz w:val="52"/>
          <w:szCs w:val="52"/>
          <w:highlight w:val="none"/>
        </w:rPr>
      </w:pPr>
      <w:r>
        <w:rPr>
          <w:color w:val="auto"/>
          <w:sz w:val="52"/>
          <w:szCs w:val="52"/>
          <w:highlight w:val="none"/>
        </w:rPr>
        <w:t>202</w:t>
      </w:r>
      <w:r>
        <w:rPr>
          <w:rFonts w:hint="eastAsia"/>
          <w:color w:val="auto"/>
          <w:sz w:val="52"/>
          <w:szCs w:val="52"/>
          <w:highlight w:val="none"/>
        </w:rPr>
        <w:t>4年海南省价格认证中心预算</w:t>
      </w:r>
    </w:p>
    <w:p>
      <w:pPr>
        <w:ind w:firstLine="1680"/>
        <w:jc w:val="center"/>
        <w:rPr>
          <w:color w:val="auto"/>
          <w:sz w:val="84"/>
          <w:szCs w:val="84"/>
          <w:highlight w:val="none"/>
        </w:rPr>
      </w:pPr>
    </w:p>
    <w:p>
      <w:pPr>
        <w:ind w:firstLine="1680"/>
        <w:jc w:val="center"/>
        <w:rPr>
          <w:color w:val="auto"/>
          <w:sz w:val="84"/>
          <w:szCs w:val="84"/>
          <w:highlight w:val="none"/>
        </w:rPr>
      </w:pPr>
    </w:p>
    <w:p>
      <w:pPr>
        <w:ind w:firstLine="1680"/>
        <w:jc w:val="center"/>
        <w:rPr>
          <w:color w:val="auto"/>
          <w:sz w:val="84"/>
          <w:szCs w:val="84"/>
          <w:highlight w:val="none"/>
        </w:rPr>
      </w:pPr>
    </w:p>
    <w:p>
      <w:pPr>
        <w:ind w:firstLine="1680"/>
        <w:jc w:val="center"/>
        <w:rPr>
          <w:color w:val="auto"/>
          <w:sz w:val="84"/>
          <w:szCs w:val="84"/>
          <w:highlight w:val="none"/>
        </w:rPr>
      </w:pPr>
    </w:p>
    <w:p>
      <w:pPr>
        <w:ind w:firstLine="1680"/>
        <w:jc w:val="center"/>
        <w:rPr>
          <w:color w:val="auto"/>
          <w:sz w:val="84"/>
          <w:szCs w:val="84"/>
          <w:highlight w:val="none"/>
        </w:rPr>
      </w:pPr>
    </w:p>
    <w:p>
      <w:pPr>
        <w:rPr>
          <w:color w:val="auto"/>
          <w:sz w:val="84"/>
          <w:szCs w:val="84"/>
          <w:highlight w:val="none"/>
        </w:rPr>
      </w:pPr>
    </w:p>
    <w:p>
      <w:pPr>
        <w:rPr>
          <w:color w:val="auto"/>
          <w:sz w:val="84"/>
          <w:szCs w:val="84"/>
          <w:highlight w:val="none"/>
        </w:rPr>
      </w:pPr>
    </w:p>
    <w:p>
      <w:pPr>
        <w:jc w:val="center"/>
        <w:outlineLvl w:val="0"/>
        <w:rPr>
          <w:rFonts w:ascii="黑体" w:hAnsi="黑体" w:eastAsia="黑体"/>
          <w:color w:val="auto"/>
          <w:sz w:val="52"/>
          <w:szCs w:val="52"/>
          <w:highlight w:val="none"/>
        </w:rPr>
      </w:pPr>
      <w:r>
        <w:rPr>
          <w:rFonts w:hint="eastAsia" w:ascii="黑体" w:hAnsi="黑体" w:eastAsia="黑体"/>
          <w:color w:val="auto"/>
          <w:sz w:val="52"/>
          <w:szCs w:val="52"/>
          <w:highlight w:val="none"/>
        </w:rPr>
        <w:t>目录</w:t>
      </w:r>
    </w:p>
    <w:p>
      <w:pPr>
        <w:pStyle w:val="10"/>
        <w:numPr>
          <w:ilvl w:val="0"/>
          <w:numId w:val="1"/>
        </w:numPr>
        <w:ind w:firstLineChars="0"/>
        <w:jc w:val="left"/>
        <w:outlineLvl w:val="0"/>
        <w:rPr>
          <w:rFonts w:ascii="黑体" w:hAnsi="黑体" w:eastAsia="黑体"/>
          <w:color w:val="auto"/>
          <w:sz w:val="32"/>
          <w:szCs w:val="32"/>
          <w:highlight w:val="none"/>
        </w:rPr>
      </w:pPr>
      <w:r>
        <w:rPr>
          <w:rFonts w:hint="eastAsia" w:ascii="黑体" w:hAnsi="黑体" w:eastAsia="黑体"/>
          <w:color w:val="auto"/>
          <w:sz w:val="32"/>
          <w:szCs w:val="32"/>
          <w:highlight w:val="none"/>
        </w:rPr>
        <w:t xml:space="preserve">  海南省价格认证中心概况</w:t>
      </w:r>
    </w:p>
    <w:p>
      <w:pPr>
        <w:pStyle w:val="10"/>
        <w:numPr>
          <w:ilvl w:val="0"/>
          <w:numId w:val="2"/>
        </w:numPr>
        <w:ind w:firstLineChars="0"/>
        <w:jc w:val="left"/>
        <w:outlineLvl w:val="1"/>
        <w:rPr>
          <w:rFonts w:ascii="黑体" w:hAnsi="黑体" w:eastAsia="黑体"/>
          <w:color w:val="auto"/>
          <w:sz w:val="32"/>
          <w:szCs w:val="32"/>
          <w:highlight w:val="none"/>
        </w:rPr>
      </w:pPr>
      <w:r>
        <w:rPr>
          <w:rFonts w:hint="eastAsia" w:ascii="黑体" w:hAnsi="黑体" w:eastAsia="黑体"/>
          <w:color w:val="auto"/>
          <w:sz w:val="32"/>
          <w:szCs w:val="32"/>
          <w:highlight w:val="none"/>
        </w:rPr>
        <w:t>主要职能</w:t>
      </w:r>
    </w:p>
    <w:p>
      <w:pPr>
        <w:pStyle w:val="10"/>
        <w:numPr>
          <w:ilvl w:val="0"/>
          <w:numId w:val="2"/>
        </w:numPr>
        <w:ind w:firstLineChars="0"/>
        <w:jc w:val="left"/>
        <w:outlineLvl w:val="1"/>
        <w:rPr>
          <w:rFonts w:ascii="黑体" w:hAnsi="黑体" w:eastAsia="黑体"/>
          <w:color w:val="auto"/>
          <w:sz w:val="32"/>
          <w:szCs w:val="32"/>
          <w:highlight w:val="none"/>
        </w:rPr>
      </w:pPr>
      <w:r>
        <w:rPr>
          <w:rFonts w:hint="eastAsia" w:ascii="黑体" w:hAnsi="黑体" w:eastAsia="黑体"/>
          <w:color w:val="auto"/>
          <w:sz w:val="32"/>
          <w:szCs w:val="32"/>
          <w:highlight w:val="none"/>
        </w:rPr>
        <w:t>部门预算单位构成(单位公开没有这部分内容)</w:t>
      </w:r>
    </w:p>
    <w:p>
      <w:pPr>
        <w:pStyle w:val="10"/>
        <w:numPr>
          <w:ilvl w:val="0"/>
          <w:numId w:val="1"/>
        </w:numPr>
        <w:ind w:firstLineChars="0"/>
        <w:outlineLvl w:val="0"/>
        <w:rPr>
          <w:rFonts w:ascii="黑体" w:hAnsi="黑体" w:eastAsia="黑体"/>
          <w:color w:val="auto"/>
          <w:sz w:val="32"/>
          <w:szCs w:val="32"/>
          <w:highlight w:val="none"/>
        </w:rPr>
      </w:pPr>
      <w:r>
        <w:rPr>
          <w:rFonts w:hint="eastAsia" w:ascii="黑体" w:hAnsi="黑体" w:eastAsia="黑体"/>
          <w:color w:val="auto"/>
          <w:sz w:val="32"/>
          <w:szCs w:val="32"/>
          <w:highlight w:val="none"/>
        </w:rPr>
        <w:t xml:space="preserve">  海南省价格认证中心2024年预算表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财政拨款收支总表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一般公共预算支出表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一般公共预算基本支出表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一般公共预算“三公”经费支出表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政府性基金预算支出表。</w:t>
      </w:r>
    </w:p>
    <w:p>
      <w:pPr>
        <w:pStyle w:val="10"/>
        <w:numPr>
          <w:ilvl w:val="0"/>
          <w:numId w:val="3"/>
        </w:numPr>
        <w:ind w:firstLineChars="0"/>
        <w:outlineLvl w:val="1"/>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政府性基金预算“三公”经费支出表</w:t>
      </w:r>
    </w:p>
    <w:p>
      <w:pPr>
        <w:pStyle w:val="10"/>
        <w:numPr>
          <w:ilvl w:val="0"/>
          <w:numId w:val="3"/>
        </w:numPr>
        <w:ind w:firstLineChars="0"/>
        <w:jc w:val="left"/>
        <w:outlineLvl w:val="1"/>
        <w:rPr>
          <w:rFonts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部门(单位)收支总表</w:t>
      </w:r>
    </w:p>
    <w:p>
      <w:pPr>
        <w:pStyle w:val="10"/>
        <w:numPr>
          <w:ilvl w:val="0"/>
          <w:numId w:val="3"/>
        </w:numPr>
        <w:ind w:firstLineChars="0"/>
        <w:jc w:val="left"/>
        <w:outlineLvl w:val="1"/>
        <w:rPr>
          <w:rFonts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部门(单位)收入总表</w:t>
      </w:r>
    </w:p>
    <w:p>
      <w:pPr>
        <w:pStyle w:val="10"/>
        <w:numPr>
          <w:ilvl w:val="0"/>
          <w:numId w:val="3"/>
        </w:numPr>
        <w:ind w:firstLineChars="0"/>
        <w:jc w:val="left"/>
        <w:outlineLvl w:val="1"/>
        <w:rPr>
          <w:rFonts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部门(单位)支出总表</w:t>
      </w:r>
    </w:p>
    <w:p>
      <w:pPr>
        <w:pStyle w:val="10"/>
        <w:numPr>
          <w:ilvl w:val="0"/>
          <w:numId w:val="3"/>
        </w:numPr>
        <w:ind w:firstLineChars="0"/>
        <w:jc w:val="left"/>
        <w:outlineLvl w:val="1"/>
        <w:rPr>
          <w:rFonts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项目支出绩效信息表</w:t>
      </w:r>
    </w:p>
    <w:p>
      <w:pPr>
        <w:pStyle w:val="10"/>
        <w:numPr>
          <w:ilvl w:val="0"/>
          <w:numId w:val="1"/>
        </w:numPr>
        <w:ind w:firstLineChars="0"/>
        <w:jc w:val="left"/>
        <w:outlineLvl w:val="0"/>
        <w:rPr>
          <w:rFonts w:ascii="仿宋_GB2312" w:hAnsi="仿宋_GB2312" w:eastAsia="仿宋_GB2312" w:cs="仿宋_GB2312"/>
          <w:color w:val="auto"/>
          <w:sz w:val="32"/>
          <w:szCs w:val="32"/>
          <w:highlight w:val="none"/>
        </w:rPr>
      </w:pPr>
      <w:r>
        <w:rPr>
          <w:rFonts w:hint="eastAsia" w:ascii="黑体" w:hAnsi="黑体" w:eastAsia="黑体"/>
          <w:color w:val="auto"/>
          <w:sz w:val="32"/>
          <w:szCs w:val="32"/>
          <w:highlight w:val="none"/>
        </w:rPr>
        <w:t xml:space="preserve">  海南省价格认证中心2024年预算情况说明</w:t>
      </w:r>
    </w:p>
    <w:p>
      <w:pPr>
        <w:pStyle w:val="10"/>
        <w:numPr>
          <w:ilvl w:val="0"/>
          <w:numId w:val="1"/>
        </w:numPr>
        <w:ind w:firstLineChars="0"/>
        <w:jc w:val="left"/>
        <w:outlineLvl w:val="0"/>
        <w:rPr>
          <w:rFonts w:ascii="仿宋_GB2312" w:hAnsi="仿宋_GB2312" w:eastAsia="仿宋_GB2312" w:cs="仿宋_GB2312"/>
          <w:color w:val="auto"/>
          <w:sz w:val="32"/>
          <w:szCs w:val="32"/>
          <w:highlight w:val="none"/>
        </w:rPr>
      </w:pPr>
      <w:r>
        <w:rPr>
          <w:rFonts w:hint="eastAsia" w:ascii="黑体" w:hAnsi="黑体" w:eastAsia="黑体"/>
          <w:color w:val="auto"/>
          <w:sz w:val="32"/>
          <w:szCs w:val="32"/>
          <w:highlight w:val="none"/>
        </w:rPr>
        <w:t xml:space="preserve">  名词解释</w:t>
      </w:r>
    </w:p>
    <w:p>
      <w:pPr>
        <w:widowControl/>
        <w:jc w:val="left"/>
        <w:rPr>
          <w:rFonts w:ascii="黑体" w:hAnsi="黑体" w:eastAsia="黑体"/>
          <w:color w:val="auto"/>
          <w:sz w:val="32"/>
          <w:szCs w:val="32"/>
          <w:highlight w:val="none"/>
        </w:rPr>
      </w:pPr>
      <w:r>
        <w:rPr>
          <w:rFonts w:ascii="黑体" w:hAnsi="黑体" w:eastAsia="黑体"/>
          <w:color w:val="auto"/>
          <w:sz w:val="32"/>
          <w:szCs w:val="32"/>
          <w:highlight w:val="none"/>
        </w:rPr>
        <w:br w:type="page"/>
      </w:r>
    </w:p>
    <w:p>
      <w:pPr>
        <w:pStyle w:val="10"/>
        <w:numPr>
          <w:ilvl w:val="0"/>
          <w:numId w:val="4"/>
        </w:numPr>
        <w:ind w:firstLineChars="0"/>
        <w:jc w:val="center"/>
        <w:outlineLvl w:val="0"/>
        <w:rPr>
          <w:rFonts w:ascii="仿宋_GB2312" w:hAnsi="仿宋_GB2312" w:eastAsia="仿宋_GB2312" w:cs="仿宋_GB2312"/>
          <w:color w:val="auto"/>
          <w:sz w:val="32"/>
          <w:szCs w:val="32"/>
          <w:highlight w:val="none"/>
        </w:rPr>
      </w:pPr>
      <w:r>
        <w:rPr>
          <w:rFonts w:hint="eastAsia" w:ascii="黑体" w:hAnsi="黑体" w:eastAsia="黑体"/>
          <w:color w:val="auto"/>
          <w:sz w:val="32"/>
          <w:szCs w:val="32"/>
          <w:highlight w:val="none"/>
        </w:rPr>
        <w:t xml:space="preserve">  海南省价格认证中心概况</w:t>
      </w:r>
    </w:p>
    <w:p>
      <w:pPr>
        <w:jc w:val="left"/>
        <w:rPr>
          <w:rFonts w:ascii="仿宋_GB2312" w:hAnsi="仿宋_GB2312" w:eastAsia="仿宋_GB2312" w:cs="仿宋_GB2312"/>
          <w:color w:val="auto"/>
          <w:sz w:val="32"/>
          <w:szCs w:val="32"/>
          <w:highlight w:val="none"/>
        </w:rPr>
      </w:pPr>
    </w:p>
    <w:p>
      <w:pPr>
        <w:pStyle w:val="10"/>
        <w:numPr>
          <w:ilvl w:val="0"/>
          <w:numId w:val="5"/>
        </w:numPr>
        <w:ind w:left="0" w:firstLine="720" w:firstLineChars="0"/>
        <w:jc w:val="left"/>
        <w:outlineLvl w:val="1"/>
        <w:rPr>
          <w:rFonts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主要职能</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海南省价格认证中心于1992年经海南省机构编制委员会批准设立,系隶属海南省发改委的正处级财政全额拨款公益一类事业单位，其主要工作任务和职责范围如下：</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①贯彻执行党和国家及上级价格主管部门有关价格方针政策、法律法规及规范性文件等，草定并组织实施价格认定政策、法规和规章；编制全省价格认定发展规划和年度工作计划。</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②根据纪检监察、司法、行政机关的协助书(函)，对纪检监察、刑事、行政执法中涉及的，价格不明或者价格有争议的各类标的进行价格认定、复核。</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③根据税务机关的协助书(函)，对涉税财物进行价格认定。</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④负责价格咨询、价格信用认证及价格主管部门委托的价格管理事务性工作。</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⑤根据国家机关工作需要，对行政征收、征用、国家赔偿、补偿，政府购买公共服务等依法进行价格水平合理性认定。</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⑥根据政府机关提出的价格协助书(函)，对政府涉农物资采购预算价格进行价格水平合理性认定。</w:t>
      </w:r>
    </w:p>
    <w:p>
      <w:pPr>
        <w:pStyle w:val="11"/>
        <w:spacing w:line="620" w:lineRule="exact"/>
        <w:ind w:firstLine="600"/>
        <w:rPr>
          <w:rFonts w:hint="eastAsia" w:ascii="仿宋_GB2312" w:hAnsi="仿宋_GB2312" w:eastAsia="仿宋_GB2312" w:cs="仿宋_GB2312"/>
          <w:color w:val="auto"/>
          <w:spacing w:val="-11"/>
          <w:sz w:val="32"/>
          <w:szCs w:val="32"/>
          <w:highlight w:val="none"/>
        </w:rPr>
      </w:pPr>
      <w:r>
        <w:rPr>
          <w:rFonts w:hint="eastAsia" w:ascii="仿宋_GB2312" w:hAnsi="仿宋_GB2312" w:eastAsia="仿宋_GB2312" w:cs="仿宋_GB2312"/>
          <w:color w:val="auto"/>
          <w:sz w:val="32"/>
          <w:szCs w:val="32"/>
          <w:highlight w:val="none"/>
        </w:rPr>
        <w:t>⑦</w:t>
      </w:r>
      <w:r>
        <w:rPr>
          <w:rFonts w:hint="eastAsia" w:ascii="仿宋_GB2312" w:hAnsi="仿宋_GB2312" w:eastAsia="仿宋_GB2312" w:cs="仿宋_GB2312"/>
          <w:color w:val="auto"/>
          <w:spacing w:val="-11"/>
          <w:sz w:val="32"/>
          <w:szCs w:val="32"/>
          <w:highlight w:val="none"/>
        </w:rPr>
        <w:t>依法开展价格纠纷调处工作，可接受当事人的请求，对各类纠纷标的进行价格水平合理性认定，维护当事人的合法价格权益。</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⑧协助价格主管部门对价格评估、鉴证、估价等中介活动进行监督和管理。</w:t>
      </w:r>
    </w:p>
    <w:p>
      <w:pPr>
        <w:pStyle w:val="11"/>
        <w:spacing w:line="620" w:lineRule="exact"/>
        <w:ind w:firstLine="6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⑨负责市县价格认定工作的业务指导。</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⑩政府价格主管部门交办的其他工作。</w:t>
      </w:r>
    </w:p>
    <w:p>
      <w:pPr>
        <w:outlineLvl w:val="0"/>
        <w:rPr>
          <w:rFonts w:ascii="黑体" w:hAnsi="黑体" w:eastAsia="黑体"/>
          <w:color w:val="auto"/>
          <w:sz w:val="32"/>
          <w:szCs w:val="32"/>
          <w:highlight w:val="none"/>
        </w:rPr>
      </w:pPr>
      <w:r>
        <w:rPr>
          <w:rFonts w:hint="eastAsia" w:ascii="黑体" w:hAnsi="黑体" w:eastAsia="黑体"/>
          <w:color w:val="auto"/>
          <w:sz w:val="32"/>
          <w:szCs w:val="32"/>
          <w:highlight w:val="none"/>
          <w:lang w:eastAsia="zh-CN"/>
        </w:rPr>
        <w:t>　　</w:t>
      </w:r>
      <w:r>
        <w:rPr>
          <w:rFonts w:hint="eastAsia" w:ascii="黑体" w:hAnsi="黑体" w:eastAsia="黑体"/>
          <w:color w:val="auto"/>
          <w:sz w:val="32"/>
          <w:szCs w:val="32"/>
          <w:highlight w:val="none"/>
        </w:rPr>
        <w:t xml:space="preserve">第二部分 </w:t>
      </w:r>
      <w:r>
        <w:rPr>
          <w:rFonts w:hint="eastAsia" w:ascii="仿宋_GB2312" w:hAnsi="黑体" w:eastAsia="仿宋_GB2312" w:cs="仿宋_GB2312"/>
          <w:color w:val="auto"/>
          <w:sz w:val="32"/>
          <w:szCs w:val="32"/>
          <w:highlight w:val="none"/>
        </w:rPr>
        <w:t xml:space="preserve"> </w:t>
      </w:r>
      <w:r>
        <w:rPr>
          <w:rFonts w:hint="eastAsia" w:ascii="黑体" w:hAnsi="黑体" w:eastAsia="黑体"/>
          <w:color w:val="auto"/>
          <w:sz w:val="32"/>
          <w:szCs w:val="32"/>
          <w:highlight w:val="none"/>
        </w:rPr>
        <w:t>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4年预算表</w:t>
      </w:r>
    </w:p>
    <w:p>
      <w:pPr>
        <w:ind w:left="800"/>
        <w:jc w:val="left"/>
        <w:rPr>
          <w:rFonts w:ascii="黑体" w:hAnsi="黑体" w:eastAsia="黑体"/>
          <w:color w:val="auto"/>
          <w:sz w:val="32"/>
          <w:szCs w:val="32"/>
          <w:highlight w:val="none"/>
        </w:rPr>
      </w:pPr>
    </w:p>
    <w:p>
      <w:pPr>
        <w:ind w:hanging="3"/>
        <w:jc w:val="center"/>
        <w:outlineLvl w:val="1"/>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(此部分内容即为部门或单位预算公开表)</w:t>
      </w:r>
    </w:p>
    <w:p>
      <w:pPr>
        <w:widowControl/>
        <w:jc w:val="left"/>
        <w:outlineLvl w:val="0"/>
        <w:rPr>
          <w:rFonts w:hint="eastAsia" w:ascii="黑体" w:hAnsi="黑体" w:eastAsia="黑体"/>
          <w:color w:val="auto"/>
          <w:sz w:val="32"/>
          <w:szCs w:val="32"/>
          <w:highlight w:val="none"/>
        </w:rPr>
      </w:pPr>
    </w:p>
    <w:p>
      <w:pPr>
        <w:widowControl/>
        <w:jc w:val="left"/>
        <w:outlineLvl w:val="0"/>
        <w:rPr>
          <w:rFonts w:ascii="黑体" w:hAnsi="黑体" w:eastAsia="黑体"/>
          <w:color w:val="auto"/>
          <w:sz w:val="32"/>
          <w:szCs w:val="32"/>
          <w:highlight w:val="none"/>
        </w:rPr>
      </w:pPr>
      <w:r>
        <w:rPr>
          <w:rFonts w:hint="eastAsia" w:ascii="黑体" w:hAnsi="黑体" w:eastAsia="黑体"/>
          <w:color w:val="auto"/>
          <w:sz w:val="32"/>
          <w:szCs w:val="32"/>
          <w:highlight w:val="none"/>
          <w:lang w:eastAsia="zh-CN"/>
        </w:rPr>
        <w:t>　　</w:t>
      </w:r>
      <w:r>
        <w:rPr>
          <w:rFonts w:hint="eastAsia" w:ascii="黑体" w:hAnsi="黑体" w:eastAsia="黑体"/>
          <w:color w:val="auto"/>
          <w:sz w:val="32"/>
          <w:szCs w:val="32"/>
          <w:highlight w:val="none"/>
        </w:rPr>
        <w:t>第三部分   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4年预算情况说明</w:t>
      </w:r>
    </w:p>
    <w:p>
      <w:pPr>
        <w:jc w:val="center"/>
        <w:rPr>
          <w:rFonts w:ascii="黑体" w:hAnsi="黑体" w:eastAsia="黑体"/>
          <w:color w:val="auto"/>
          <w:sz w:val="32"/>
          <w:szCs w:val="32"/>
          <w:highlight w:val="none"/>
        </w:rPr>
      </w:pPr>
    </w:p>
    <w:p>
      <w:pPr>
        <w:ind w:firstLine="640" w:firstLineChars="200"/>
        <w:jc w:val="left"/>
        <w:outlineLvl w:val="1"/>
        <w:rPr>
          <w:rFonts w:ascii="黑体" w:hAnsi="黑体" w:eastAsia="黑体"/>
          <w:color w:val="auto"/>
          <w:sz w:val="32"/>
          <w:szCs w:val="32"/>
          <w:highlight w:val="none"/>
        </w:rPr>
      </w:pPr>
      <w:r>
        <w:rPr>
          <w:rFonts w:hint="eastAsia" w:ascii="黑体" w:hAnsi="黑体" w:eastAsia="黑体"/>
          <w:color w:val="auto"/>
          <w:sz w:val="32"/>
          <w:szCs w:val="32"/>
          <w:highlight w:val="none"/>
        </w:rPr>
        <w:t>一、海南省价格认证中心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4年财政拨款收支预算情况的总体说明</w:t>
      </w:r>
    </w:p>
    <w:p>
      <w:pPr>
        <w:ind w:firstLine="566" w:firstLineChars="177"/>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w:t>
      </w:r>
      <w:r>
        <w:rPr>
          <w:rFonts w:hint="eastAsia" w:ascii="仿宋" w:hAnsi="仿宋" w:eastAsia="仿宋"/>
          <w:color w:val="auto"/>
          <w:sz w:val="32"/>
          <w:szCs w:val="32"/>
          <w:highlight w:val="none"/>
        </w:rPr>
        <w:t>年财政拨款收支预算</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rPr>
        <w:t>511.71万元，比上年预算数增加</w:t>
      </w:r>
      <w:r>
        <w:rPr>
          <w:rFonts w:hint="eastAsia" w:ascii="仿宋" w:hAnsi="仿宋" w:eastAsia="仿宋" w:cs="仿宋_GB2312"/>
          <w:color w:val="auto"/>
          <w:sz w:val="32"/>
          <w:szCs w:val="32"/>
          <w:highlight w:val="none"/>
        </w:rPr>
        <w:t>23.81</w:t>
      </w:r>
      <w:r>
        <w:rPr>
          <w:rFonts w:hint="eastAsia" w:ascii="仿宋" w:hAnsi="仿宋" w:eastAsia="仿宋"/>
          <w:color w:val="auto"/>
          <w:sz w:val="32"/>
          <w:szCs w:val="32"/>
          <w:highlight w:val="none"/>
        </w:rPr>
        <w:t>万元，主要是人员经费和公用经费增加。其中，收入总计</w:t>
      </w:r>
      <w:r>
        <w:rPr>
          <w:rFonts w:hint="eastAsia" w:ascii="仿宋" w:hAnsi="仿宋" w:eastAsia="仿宋" w:cs="仿宋_GB2312"/>
          <w:color w:val="auto"/>
          <w:sz w:val="32"/>
          <w:szCs w:val="32"/>
          <w:highlight w:val="none"/>
        </w:rPr>
        <w:t>511.71</w:t>
      </w:r>
      <w:r>
        <w:rPr>
          <w:rFonts w:hint="eastAsia" w:ascii="仿宋" w:hAnsi="仿宋" w:eastAsia="仿宋"/>
          <w:color w:val="auto"/>
          <w:sz w:val="32"/>
          <w:szCs w:val="32"/>
          <w:highlight w:val="none"/>
        </w:rPr>
        <w:t>万元，包括一般公共预算本年收入</w:t>
      </w:r>
      <w:r>
        <w:rPr>
          <w:rFonts w:hint="eastAsia" w:ascii="仿宋" w:hAnsi="仿宋" w:eastAsia="仿宋" w:cs="仿宋_GB2312"/>
          <w:color w:val="auto"/>
          <w:sz w:val="32"/>
          <w:szCs w:val="32"/>
          <w:highlight w:val="none"/>
        </w:rPr>
        <w:t>511.71</w:t>
      </w:r>
      <w:r>
        <w:rPr>
          <w:rFonts w:hint="eastAsia" w:ascii="仿宋" w:hAnsi="仿宋" w:eastAsia="仿宋"/>
          <w:color w:val="auto"/>
          <w:sz w:val="32"/>
          <w:szCs w:val="32"/>
          <w:highlight w:val="none"/>
        </w:rPr>
        <w:t>万元、无上年结转；无政府性基金预算本年收入；支出总计</w:t>
      </w:r>
      <w:r>
        <w:rPr>
          <w:rFonts w:hint="eastAsia" w:ascii="仿宋" w:hAnsi="仿宋" w:eastAsia="仿宋" w:cs="仿宋_GB2312"/>
          <w:color w:val="auto"/>
          <w:sz w:val="32"/>
          <w:szCs w:val="32"/>
          <w:highlight w:val="none"/>
        </w:rPr>
        <w:t>511.71</w:t>
      </w:r>
      <w:r>
        <w:rPr>
          <w:rFonts w:hint="eastAsia" w:ascii="仿宋" w:hAnsi="仿宋" w:eastAsia="仿宋"/>
          <w:color w:val="auto"/>
          <w:sz w:val="32"/>
          <w:szCs w:val="32"/>
          <w:highlight w:val="none"/>
        </w:rPr>
        <w:t>万元，包括</w:t>
      </w:r>
      <w:r>
        <w:rPr>
          <w:rFonts w:hint="eastAsia" w:ascii="仿宋" w:hAnsi="仿宋" w:eastAsia="仿宋" w:cs="仿宋_GB2312"/>
          <w:color w:val="auto"/>
          <w:sz w:val="32"/>
          <w:szCs w:val="32"/>
          <w:highlight w:val="none"/>
        </w:rPr>
        <w:t>一般公共服务(类)支出371.00</w:t>
      </w:r>
      <w:r>
        <w:rPr>
          <w:rFonts w:hint="eastAsia" w:ascii="仿宋" w:hAnsi="仿宋" w:eastAsia="仿宋"/>
          <w:color w:val="auto"/>
          <w:sz w:val="32"/>
          <w:szCs w:val="32"/>
          <w:highlight w:val="none"/>
        </w:rPr>
        <w:t>万元；社会保障和就业支出94.31万元；卫生健康支出16.41万元；住房保障支出29.99万元。</w:t>
      </w:r>
    </w:p>
    <w:p>
      <w:pPr>
        <w:ind w:firstLine="640"/>
        <w:jc w:val="left"/>
        <w:outlineLvl w:val="1"/>
        <w:rPr>
          <w:rFonts w:ascii="黑体" w:hAnsi="黑体" w:eastAsia="黑体"/>
          <w:color w:val="auto"/>
          <w:sz w:val="32"/>
          <w:szCs w:val="32"/>
          <w:highlight w:val="none"/>
        </w:rPr>
      </w:pPr>
      <w:r>
        <w:rPr>
          <w:rFonts w:hint="eastAsia" w:ascii="黑体" w:hAnsi="黑体" w:eastAsia="黑体"/>
          <w:color w:val="auto"/>
          <w:sz w:val="32"/>
          <w:szCs w:val="32"/>
          <w:highlight w:val="none"/>
        </w:rPr>
        <w:t>二、关于海南省价格认证中心</w:t>
      </w:r>
      <w:r>
        <w:rPr>
          <w:rFonts w:ascii="黑体" w:hAnsi="黑体" w:eastAsia="黑体"/>
          <w:color w:val="auto"/>
          <w:sz w:val="32"/>
          <w:szCs w:val="32"/>
          <w:highlight w:val="none"/>
        </w:rPr>
        <w:t>2024</w:t>
      </w:r>
      <w:r>
        <w:rPr>
          <w:rFonts w:hint="eastAsia" w:ascii="黑体" w:hAnsi="黑体" w:eastAsia="黑体"/>
          <w:color w:val="auto"/>
          <w:sz w:val="32"/>
          <w:szCs w:val="32"/>
          <w:highlight w:val="none"/>
        </w:rPr>
        <w:t>年一般公共预算当年拨款情况说明</w:t>
      </w:r>
    </w:p>
    <w:p>
      <w:pPr>
        <w:ind w:firstLine="640"/>
        <w:jc w:val="left"/>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(一)一般公共预算当年规模变化情况</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4年一般公共预算当年拨款511.71万元，比上年预算数增加23.81万元，主要是</w:t>
      </w:r>
      <w:r>
        <w:rPr>
          <w:rFonts w:hint="eastAsia" w:ascii="仿宋" w:hAnsi="仿宋" w:eastAsia="仿宋"/>
          <w:color w:val="auto"/>
          <w:sz w:val="32"/>
          <w:szCs w:val="32"/>
          <w:highlight w:val="none"/>
        </w:rPr>
        <w:t>人员经费和公用经费增加</w:t>
      </w:r>
      <w:r>
        <w:rPr>
          <w:rFonts w:hint="eastAsia" w:ascii="仿宋" w:hAnsi="仿宋" w:eastAsia="仿宋" w:cs="仿宋_GB2312"/>
          <w:color w:val="auto"/>
          <w:sz w:val="32"/>
          <w:szCs w:val="32"/>
          <w:highlight w:val="none"/>
        </w:rPr>
        <w:t>。</w:t>
      </w:r>
    </w:p>
    <w:p>
      <w:pPr>
        <w:ind w:firstLine="640"/>
        <w:jc w:val="left"/>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(二)一般公共预算当年拨款结构情况</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一般公共服务(类)支出371万元，占72.50%；社会保障和就业支出94.31万元，占18.43%；卫生健康支出16.41万元，占3.21%；住房保障支出29.99万元，占5.86%。</w:t>
      </w:r>
    </w:p>
    <w:p>
      <w:pPr>
        <w:ind w:firstLine="640"/>
        <w:jc w:val="left"/>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(三)一般公共预算当年拨款具体使用情况</w:t>
      </w:r>
    </w:p>
    <w:p>
      <w:pPr>
        <w:ind w:firstLine="640" w:firstLineChars="200"/>
        <w:rPr>
          <w:rFonts w:ascii="仿宋" w:hAnsi="仿宋" w:eastAsia="仿宋" w:cs="仿宋_GB2312"/>
          <w:color w:val="auto"/>
          <w:sz w:val="32"/>
          <w:szCs w:val="32"/>
          <w:highlight w:val="none"/>
        </w:rPr>
      </w:pPr>
      <w:r>
        <w:rPr>
          <w:rFonts w:ascii="仿宋" w:hAnsi="仿宋" w:eastAsia="仿宋" w:cs="仿宋_GB2312"/>
          <w:color w:val="auto"/>
          <w:sz w:val="32"/>
          <w:szCs w:val="32"/>
          <w:highlight w:val="none"/>
        </w:rPr>
        <w:t>1.</w:t>
      </w:r>
      <w:r>
        <w:rPr>
          <w:rFonts w:hint="eastAsia" w:ascii="仿宋" w:hAnsi="仿宋" w:eastAsia="仿宋" w:cs="仿宋_GB2312"/>
          <w:color w:val="auto"/>
          <w:sz w:val="32"/>
          <w:szCs w:val="32"/>
          <w:highlight w:val="none"/>
        </w:rPr>
        <w:t>一般公共服务(类)发展与改革事务(款)事业运行(项)</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4年预算数为319</w:t>
      </w:r>
      <w:r>
        <w:rPr>
          <w:rFonts w:ascii="仿宋" w:hAnsi="仿宋" w:eastAsia="仿宋" w:cs="仿宋_GB2312"/>
          <w:color w:val="auto"/>
          <w:sz w:val="32"/>
          <w:szCs w:val="32"/>
          <w:highlight w:val="none"/>
        </w:rPr>
        <w:t>万元，</w:t>
      </w:r>
      <w:r>
        <w:rPr>
          <w:rFonts w:hint="eastAsia" w:ascii="仿宋" w:hAnsi="仿宋" w:eastAsia="仿宋" w:cs="仿宋_GB2312"/>
          <w:color w:val="auto"/>
          <w:sz w:val="32"/>
          <w:szCs w:val="32"/>
          <w:highlight w:val="none"/>
        </w:rPr>
        <w:t>比上年预算数增加37.87万元，主要是</w:t>
      </w:r>
      <w:r>
        <w:rPr>
          <w:rFonts w:hint="eastAsia" w:ascii="仿宋" w:hAnsi="仿宋" w:eastAsia="仿宋"/>
          <w:color w:val="auto"/>
          <w:sz w:val="32"/>
          <w:szCs w:val="32"/>
          <w:highlight w:val="none"/>
        </w:rPr>
        <w:t>人员经费和公用经费</w:t>
      </w:r>
      <w:r>
        <w:rPr>
          <w:rFonts w:hint="eastAsia" w:ascii="仿宋" w:hAnsi="仿宋" w:eastAsia="仿宋" w:cs="仿宋_GB2312"/>
          <w:color w:val="auto"/>
          <w:sz w:val="32"/>
          <w:szCs w:val="32"/>
          <w:highlight w:val="none"/>
        </w:rPr>
        <w:t>。</w:t>
      </w:r>
    </w:p>
    <w:p>
      <w:pPr>
        <w:ind w:firstLine="640" w:firstLineChars="200"/>
        <w:rPr>
          <w:rFonts w:hint="eastAsia" w:ascii="仿宋" w:hAnsi="仿宋" w:eastAsia="仿宋" w:cs="仿宋_GB2312"/>
          <w:color w:val="auto"/>
          <w:sz w:val="32"/>
          <w:szCs w:val="32"/>
          <w:highlight w:val="none"/>
        </w:rPr>
      </w:pPr>
      <w:r>
        <w:rPr>
          <w:rFonts w:ascii="仿宋" w:hAnsi="仿宋" w:eastAsia="仿宋" w:cs="仿宋_GB2312"/>
          <w:color w:val="auto"/>
          <w:sz w:val="32"/>
          <w:szCs w:val="32"/>
          <w:highlight w:val="none"/>
        </w:rPr>
        <w:t>2.</w:t>
      </w:r>
      <w:r>
        <w:rPr>
          <w:rFonts w:hint="eastAsia" w:ascii="仿宋" w:hAnsi="仿宋" w:eastAsia="仿宋" w:cs="仿宋_GB2312"/>
          <w:color w:val="auto"/>
          <w:sz w:val="32"/>
          <w:szCs w:val="32"/>
          <w:highlight w:val="none"/>
        </w:rPr>
        <w:t>一般公共服务(类)发展与改革事务(款)物价管理(项)</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4年预算数为52</w:t>
      </w:r>
      <w:r>
        <w:rPr>
          <w:rFonts w:ascii="仿宋" w:hAnsi="仿宋" w:eastAsia="仿宋" w:cs="仿宋_GB2312"/>
          <w:color w:val="auto"/>
          <w:sz w:val="32"/>
          <w:szCs w:val="32"/>
          <w:highlight w:val="none"/>
        </w:rPr>
        <w:t>万元，</w:t>
      </w:r>
      <w:r>
        <w:rPr>
          <w:rFonts w:hint="eastAsia" w:ascii="仿宋" w:hAnsi="仿宋" w:eastAsia="仿宋" w:cs="仿宋_GB2312"/>
          <w:color w:val="auto"/>
          <w:sz w:val="32"/>
          <w:szCs w:val="32"/>
          <w:highlight w:val="none"/>
        </w:rPr>
        <w:t>与上年预算持平，主要是“综合运行事务”项目。</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3.社会保障和就业(类)行政事业单位养老(款)机关事业单位基本养老保险缴费(项)2024年预算数为36.26万元，比上年预算数增加4.95万元，主要是</w:t>
      </w:r>
      <w:r>
        <w:rPr>
          <w:rFonts w:hint="eastAsia" w:ascii="仿宋" w:hAnsi="仿宋" w:eastAsia="仿宋" w:cs="仿宋_GB2312"/>
          <w:color w:val="auto"/>
          <w:sz w:val="32"/>
          <w:szCs w:val="32"/>
          <w:highlight w:val="none"/>
          <w:lang w:eastAsia="zh-CN"/>
        </w:rPr>
        <w:t>在职</w:t>
      </w:r>
      <w:r>
        <w:rPr>
          <w:rFonts w:hint="eastAsia" w:ascii="仿宋" w:hAnsi="仿宋" w:eastAsia="仿宋"/>
          <w:color w:val="auto"/>
          <w:sz w:val="32"/>
          <w:szCs w:val="32"/>
          <w:highlight w:val="none"/>
        </w:rPr>
        <w:t>人员</w:t>
      </w:r>
      <w:r>
        <w:rPr>
          <w:rFonts w:hint="eastAsia" w:ascii="仿宋" w:hAnsi="仿宋" w:eastAsia="仿宋"/>
          <w:color w:val="auto"/>
          <w:sz w:val="32"/>
          <w:szCs w:val="32"/>
          <w:highlight w:val="none"/>
          <w:lang w:eastAsia="zh-CN"/>
        </w:rPr>
        <w:t>养老保险费用</w:t>
      </w:r>
      <w:r>
        <w:rPr>
          <w:rFonts w:hint="eastAsia" w:ascii="仿宋" w:hAnsi="仿宋" w:eastAsia="仿宋" w:cs="仿宋_GB2312"/>
          <w:color w:val="auto"/>
          <w:sz w:val="32"/>
          <w:szCs w:val="32"/>
          <w:highlight w:val="none"/>
        </w:rPr>
        <w:t>。</w:t>
      </w:r>
    </w:p>
    <w:p>
      <w:pPr>
        <w:ind w:firstLine="640" w:firstLineChars="200"/>
        <w:rPr>
          <w:rFonts w:hint="eastAsia"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4.社会保障和就业(类)行政事业单位养老(款)机关事业单位职业年金缴费(项)2024年预算数为58.06万元，比上年预算数减少25.34万元，主要是</w:t>
      </w:r>
      <w:r>
        <w:rPr>
          <w:rFonts w:hint="eastAsia" w:ascii="仿宋" w:hAnsi="仿宋" w:eastAsia="仿宋" w:cs="仿宋_GB2312"/>
          <w:color w:val="auto"/>
          <w:sz w:val="32"/>
          <w:szCs w:val="32"/>
          <w:highlight w:val="none"/>
          <w:lang w:eastAsia="zh-CN"/>
        </w:rPr>
        <w:t>在职人员职业年金缴费资金，</w:t>
      </w:r>
      <w:r>
        <w:rPr>
          <w:rFonts w:hint="eastAsia" w:ascii="仿宋" w:hAnsi="仿宋" w:eastAsia="仿宋" w:cs="仿宋_GB2312"/>
          <w:color w:val="auto"/>
          <w:sz w:val="32"/>
          <w:szCs w:val="32"/>
          <w:highlight w:val="none"/>
        </w:rPr>
        <w:t>2023年预算包</w:t>
      </w:r>
      <w:r>
        <w:rPr>
          <w:rFonts w:hint="eastAsia" w:ascii="仿宋" w:hAnsi="仿宋" w:eastAsia="仿宋" w:cs="仿宋_GB2312"/>
          <w:color w:val="auto"/>
          <w:sz w:val="32"/>
          <w:szCs w:val="32"/>
          <w:highlight w:val="none"/>
          <w:lang w:eastAsia="zh-CN"/>
        </w:rPr>
        <w:t>括</w:t>
      </w:r>
      <w:r>
        <w:rPr>
          <w:rFonts w:hint="eastAsia" w:ascii="仿宋" w:hAnsi="仿宋" w:eastAsia="仿宋" w:cs="仿宋_GB2312"/>
          <w:color w:val="auto"/>
          <w:sz w:val="32"/>
          <w:szCs w:val="32"/>
          <w:highlight w:val="none"/>
        </w:rPr>
        <w:t>补缴2014</w:t>
      </w:r>
      <w:r>
        <w:rPr>
          <w:rFonts w:hint="eastAsia" w:ascii="仿宋" w:hAnsi="仿宋" w:eastAsia="仿宋" w:cs="仿宋_GB2312"/>
          <w:color w:val="auto"/>
          <w:sz w:val="32"/>
          <w:szCs w:val="32"/>
          <w:highlight w:val="none"/>
          <w:lang w:eastAsia="zh-CN"/>
        </w:rPr>
        <w:t>年</w:t>
      </w:r>
      <w:r>
        <w:rPr>
          <w:rFonts w:hint="eastAsia" w:ascii="仿宋" w:hAnsi="仿宋" w:eastAsia="仿宋" w:cs="仿宋_GB2312"/>
          <w:color w:val="auto"/>
          <w:sz w:val="32"/>
          <w:szCs w:val="32"/>
          <w:highlight w:val="none"/>
          <w:lang w:val="en-US" w:eastAsia="zh-CN"/>
        </w:rPr>
        <w:t>10月至</w:t>
      </w:r>
      <w:r>
        <w:rPr>
          <w:rFonts w:hint="eastAsia" w:ascii="仿宋" w:hAnsi="仿宋" w:eastAsia="仿宋" w:cs="仿宋_GB2312"/>
          <w:color w:val="auto"/>
          <w:sz w:val="32"/>
          <w:szCs w:val="32"/>
          <w:highlight w:val="none"/>
        </w:rPr>
        <w:t>2018年</w:t>
      </w:r>
      <w:r>
        <w:rPr>
          <w:rFonts w:hint="eastAsia" w:ascii="仿宋" w:hAnsi="仿宋" w:eastAsia="仿宋" w:cs="仿宋_GB2312"/>
          <w:color w:val="auto"/>
          <w:sz w:val="32"/>
          <w:szCs w:val="32"/>
          <w:highlight w:val="none"/>
          <w:lang w:val="en-US" w:eastAsia="zh-CN"/>
        </w:rPr>
        <w:t>12月</w:t>
      </w:r>
      <w:r>
        <w:rPr>
          <w:rFonts w:hint="eastAsia" w:ascii="仿宋" w:hAnsi="仿宋" w:eastAsia="仿宋" w:cs="仿宋_GB2312"/>
          <w:color w:val="auto"/>
          <w:sz w:val="32"/>
          <w:szCs w:val="32"/>
          <w:highlight w:val="none"/>
        </w:rPr>
        <w:t>职业年金应记实</w:t>
      </w:r>
      <w:r>
        <w:rPr>
          <w:rFonts w:hint="eastAsia" w:ascii="仿宋" w:hAnsi="仿宋" w:eastAsia="仿宋" w:cs="仿宋_GB2312"/>
          <w:color w:val="auto"/>
          <w:sz w:val="32"/>
          <w:szCs w:val="32"/>
          <w:highlight w:val="none"/>
          <w:lang w:eastAsia="zh-CN"/>
        </w:rPr>
        <w:t>资金</w:t>
      </w:r>
      <w:r>
        <w:rPr>
          <w:rFonts w:hint="eastAsia" w:ascii="仿宋" w:hAnsi="仿宋" w:eastAsia="仿宋" w:cs="仿宋_GB2312"/>
          <w:color w:val="auto"/>
          <w:sz w:val="32"/>
          <w:szCs w:val="32"/>
          <w:highlight w:val="none"/>
          <w:lang w:val="en-US" w:eastAsia="zh-CN"/>
        </w:rPr>
        <w:t>(</w:t>
      </w:r>
      <w:r>
        <w:rPr>
          <w:rFonts w:hint="eastAsia" w:ascii="仿宋" w:hAnsi="仿宋" w:eastAsia="仿宋" w:cs="仿宋_GB2312"/>
          <w:color w:val="auto"/>
          <w:sz w:val="32"/>
          <w:szCs w:val="32"/>
          <w:highlight w:val="none"/>
        </w:rPr>
        <w:t>单位部分</w:t>
      </w:r>
      <w:r>
        <w:rPr>
          <w:rFonts w:hint="eastAsia" w:ascii="仿宋" w:hAnsi="仿宋" w:eastAsia="仿宋" w:cs="仿宋_GB2312"/>
          <w:color w:val="auto"/>
          <w:sz w:val="32"/>
          <w:szCs w:val="32"/>
          <w:highlight w:val="none"/>
          <w:lang w:val="en-US" w:eastAsia="zh-CN"/>
        </w:rPr>
        <w:t>)、2023年</w:t>
      </w:r>
      <w:r>
        <w:rPr>
          <w:rFonts w:hint="eastAsia" w:ascii="仿宋" w:hAnsi="仿宋" w:eastAsia="仿宋" w:cs="仿宋_GB2312"/>
          <w:color w:val="auto"/>
          <w:sz w:val="32"/>
          <w:szCs w:val="32"/>
          <w:highlight w:val="none"/>
        </w:rPr>
        <w:t>退休人员职业年金应记实</w:t>
      </w:r>
      <w:r>
        <w:rPr>
          <w:rFonts w:hint="eastAsia" w:ascii="仿宋" w:hAnsi="仿宋" w:eastAsia="仿宋" w:cs="仿宋_GB2312"/>
          <w:color w:val="auto"/>
          <w:sz w:val="32"/>
          <w:szCs w:val="32"/>
          <w:highlight w:val="none"/>
          <w:lang w:eastAsia="zh-CN"/>
        </w:rPr>
        <w:t>资金及在职人员职业年金缴费资金</w:t>
      </w:r>
      <w:r>
        <w:rPr>
          <w:rFonts w:hint="eastAsia" w:ascii="仿宋" w:hAnsi="仿宋" w:eastAsia="仿宋" w:cs="仿宋_GB2312"/>
          <w:color w:val="auto"/>
          <w:sz w:val="32"/>
          <w:szCs w:val="32"/>
          <w:highlight w:val="none"/>
        </w:rPr>
        <w:t>。</w:t>
      </w:r>
    </w:p>
    <w:p>
      <w:pPr>
        <w:ind w:firstLine="640" w:firstLineChars="200"/>
        <w:rPr>
          <w:rFonts w:hint="eastAsia"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5.卫生健康(类)行政事业单位医疗(款)事业单位医疗(项)2024年预算数为16.41万元，比上年预算数增加2.48万元，主要是</w:t>
      </w:r>
      <w:r>
        <w:rPr>
          <w:rFonts w:hint="eastAsia" w:ascii="仿宋" w:hAnsi="仿宋" w:eastAsia="仿宋" w:cs="仿宋_GB2312"/>
          <w:color w:val="auto"/>
          <w:sz w:val="32"/>
          <w:szCs w:val="32"/>
          <w:highlight w:val="none"/>
          <w:lang w:eastAsia="zh-CN"/>
        </w:rPr>
        <w:t>在职</w:t>
      </w:r>
      <w:r>
        <w:rPr>
          <w:rFonts w:hint="eastAsia" w:ascii="仿宋" w:hAnsi="仿宋" w:eastAsia="仿宋"/>
          <w:color w:val="auto"/>
          <w:sz w:val="32"/>
          <w:szCs w:val="32"/>
          <w:highlight w:val="none"/>
        </w:rPr>
        <w:t>人员</w:t>
      </w:r>
      <w:r>
        <w:rPr>
          <w:rFonts w:hint="eastAsia" w:ascii="仿宋" w:hAnsi="仿宋" w:eastAsia="仿宋"/>
          <w:color w:val="auto"/>
          <w:sz w:val="32"/>
          <w:szCs w:val="32"/>
          <w:highlight w:val="none"/>
          <w:lang w:eastAsia="zh-CN"/>
        </w:rPr>
        <w:t>医疗保险费用</w:t>
      </w:r>
      <w:r>
        <w:rPr>
          <w:rFonts w:hint="eastAsia" w:ascii="仿宋" w:hAnsi="仿宋" w:eastAsia="仿宋" w:cs="仿宋_GB2312"/>
          <w:color w:val="auto"/>
          <w:sz w:val="32"/>
          <w:szCs w:val="32"/>
          <w:highlight w:val="none"/>
        </w:rPr>
        <w:t>。</w:t>
      </w:r>
    </w:p>
    <w:p>
      <w:pPr>
        <w:ind w:firstLine="640" w:firstLineChars="200"/>
        <w:rPr>
          <w:rFonts w:hint="eastAsia"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6.住房保障(类)住房改革(款)住房公积金(项)2024年预算数为29.99万元，比上年预算数增加3.86万元，主要是</w:t>
      </w:r>
      <w:r>
        <w:rPr>
          <w:rFonts w:hint="eastAsia" w:ascii="仿宋" w:hAnsi="仿宋" w:eastAsia="仿宋" w:cs="仿宋_GB2312"/>
          <w:color w:val="auto"/>
          <w:sz w:val="32"/>
          <w:szCs w:val="32"/>
          <w:highlight w:val="none"/>
          <w:lang w:eastAsia="zh-CN"/>
        </w:rPr>
        <w:t>在职人员</w:t>
      </w:r>
      <w:r>
        <w:rPr>
          <w:rFonts w:hint="eastAsia" w:ascii="仿宋" w:hAnsi="仿宋" w:eastAsia="仿宋" w:cs="仿宋_GB2312"/>
          <w:color w:val="auto"/>
          <w:sz w:val="32"/>
          <w:szCs w:val="32"/>
          <w:highlight w:val="none"/>
        </w:rPr>
        <w:t>住房公积金</w:t>
      </w:r>
      <w:r>
        <w:rPr>
          <w:rFonts w:hint="eastAsia" w:ascii="仿宋" w:hAnsi="仿宋" w:eastAsia="仿宋" w:cs="仿宋_GB2312"/>
          <w:color w:val="auto"/>
          <w:sz w:val="32"/>
          <w:szCs w:val="32"/>
          <w:highlight w:val="none"/>
          <w:lang w:eastAsia="zh-CN"/>
        </w:rPr>
        <w:t>资金</w:t>
      </w:r>
      <w:r>
        <w:rPr>
          <w:rFonts w:hint="eastAsia" w:ascii="仿宋" w:hAnsi="仿宋" w:eastAsia="仿宋" w:cs="仿宋_GB2312"/>
          <w:color w:val="auto"/>
          <w:sz w:val="32"/>
          <w:szCs w:val="32"/>
          <w:highlight w:val="none"/>
        </w:rPr>
        <w:t>。</w:t>
      </w:r>
    </w:p>
    <w:p>
      <w:pPr>
        <w:outlineLvl w:val="1"/>
        <w:rPr>
          <w:rFonts w:ascii="黑体" w:hAnsi="黑体" w:eastAsia="黑体"/>
          <w:color w:val="auto"/>
          <w:sz w:val="32"/>
          <w:szCs w:val="32"/>
          <w:highlight w:val="none"/>
        </w:rPr>
      </w:pPr>
      <w:r>
        <w:rPr>
          <w:rFonts w:hint="eastAsia" w:ascii="黑体" w:hAnsi="黑体" w:eastAsia="黑体"/>
          <w:color w:val="auto"/>
          <w:sz w:val="32"/>
          <w:szCs w:val="32"/>
          <w:highlight w:val="none"/>
          <w:lang w:eastAsia="zh-CN"/>
        </w:rPr>
        <w:t>　　</w:t>
      </w:r>
      <w:r>
        <w:rPr>
          <w:rFonts w:hint="eastAsia" w:ascii="黑体" w:hAnsi="黑体" w:eastAsia="黑体"/>
          <w:color w:val="auto"/>
          <w:sz w:val="32"/>
          <w:szCs w:val="32"/>
          <w:highlight w:val="none"/>
        </w:rPr>
        <w:t>三、关于海南省价格认证中心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4年一般公共预算基本支出情况说明</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4年一般公共预算基本支出为459.71万元，其中：</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人员经费404.28万元，主要包括：基本工资、津贴补贴、绩效工资、社会保障缴费、职业年金缴费、住房公积金、医疗(体检</w:t>
      </w:r>
      <w:r>
        <w:rPr>
          <w:rFonts w:ascii="仿宋" w:hAnsi="仿宋" w:eastAsia="仿宋" w:cs="仿宋_GB2312"/>
          <w:color w:val="auto"/>
          <w:sz w:val="32"/>
          <w:szCs w:val="32"/>
          <w:highlight w:val="none"/>
        </w:rPr>
        <w:t>)</w:t>
      </w:r>
      <w:r>
        <w:rPr>
          <w:rFonts w:hint="eastAsia" w:ascii="仿宋" w:hAnsi="仿宋" w:eastAsia="仿宋" w:cs="仿宋_GB2312"/>
          <w:color w:val="auto"/>
          <w:sz w:val="32"/>
          <w:szCs w:val="32"/>
          <w:highlight w:val="none"/>
        </w:rPr>
        <w:t>费、通讯补贴、奖励金等;</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公</w:t>
      </w:r>
      <w:r>
        <w:rPr>
          <w:rFonts w:hint="eastAsia" w:ascii="仿宋" w:hAnsi="仿宋" w:eastAsia="仿宋" w:cs="仿宋_GB2312"/>
          <w:color w:val="auto"/>
          <w:spacing w:val="-4"/>
          <w:sz w:val="32"/>
          <w:szCs w:val="32"/>
          <w:highlight w:val="none"/>
        </w:rPr>
        <w:t>用经费55.43万元,主要包括:办公费、印刷费、咨询费、手续费、水费、电费、邮电费、物业管理费、差旅费、培训费、劳务费、维修(护)费、公务接待费、公务用车运行维护费、扶贫干部生活补助、残疾人就业保障金、工会经费、办公设备购置费、其他工资福利支出、其他商品和服务支出等。</w:t>
      </w:r>
    </w:p>
    <w:p>
      <w:pPr>
        <w:ind w:firstLine="640" w:firstLineChars="200"/>
        <w:outlineLvl w:val="1"/>
        <w:rPr>
          <w:rFonts w:ascii="黑体" w:hAnsi="黑体" w:eastAsia="黑体" w:cs="Times New Roman"/>
          <w:color w:val="auto"/>
          <w:sz w:val="32"/>
          <w:highlight w:val="none"/>
          <w:shd w:val="clear" w:color="auto" w:fill="FFFFFF"/>
        </w:rPr>
      </w:pPr>
      <w:r>
        <w:rPr>
          <w:rFonts w:hint="eastAsia" w:ascii="黑体" w:hAnsi="黑体" w:eastAsia="黑体" w:cs="Times New Roman"/>
          <w:color w:val="auto"/>
          <w:sz w:val="32"/>
          <w:highlight w:val="none"/>
          <w:shd w:val="clear" w:color="auto" w:fill="FFFFFF"/>
        </w:rPr>
        <w:t>四、</w:t>
      </w:r>
      <w:r>
        <w:rPr>
          <w:rFonts w:hint="eastAsia" w:ascii="黑体" w:hAnsi="黑体" w:eastAsia="黑体"/>
          <w:color w:val="auto"/>
          <w:sz w:val="32"/>
          <w:szCs w:val="32"/>
          <w:highlight w:val="none"/>
        </w:rPr>
        <w:t>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w:t>
      </w:r>
      <w:r>
        <w:rPr>
          <w:rFonts w:ascii="黑体" w:hAnsi="黑体" w:eastAsia="黑体" w:cs="Times New Roman"/>
          <w:color w:val="auto"/>
          <w:sz w:val="32"/>
          <w:highlight w:val="none"/>
          <w:shd w:val="clear" w:color="auto" w:fill="FFFFFF"/>
        </w:rPr>
        <w:t>“三公”经费预算情况</w:t>
      </w:r>
      <w:r>
        <w:rPr>
          <w:rFonts w:hint="eastAsia" w:ascii="黑体" w:hAnsi="黑体" w:eastAsia="黑体" w:cs="Times New Roman"/>
          <w:color w:val="auto"/>
          <w:sz w:val="32"/>
          <w:highlight w:val="none"/>
          <w:shd w:val="clear" w:color="auto" w:fill="FFFFFF"/>
        </w:rPr>
        <w:t>说明</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(一)海南省价格认证中心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4年一般公共预算“三公”经费预算数为2</w:t>
      </w:r>
      <w:r>
        <w:rPr>
          <w:rFonts w:ascii="仿宋" w:hAnsi="仿宋" w:eastAsia="仿宋" w:cs="仿宋_GB2312"/>
          <w:color w:val="auto"/>
          <w:sz w:val="32"/>
          <w:szCs w:val="32"/>
          <w:highlight w:val="none"/>
        </w:rPr>
        <w:t>.</w:t>
      </w:r>
      <w:r>
        <w:rPr>
          <w:rFonts w:hint="eastAsia" w:ascii="仿宋" w:hAnsi="仿宋" w:eastAsia="仿宋" w:cs="仿宋_GB2312"/>
          <w:color w:val="auto"/>
          <w:sz w:val="32"/>
          <w:szCs w:val="32"/>
          <w:highlight w:val="none"/>
        </w:rPr>
        <w:t>75万元，其中：</w:t>
      </w:r>
    </w:p>
    <w:p>
      <w:pPr>
        <w:ind w:firstLine="640" w:firstLineChars="200"/>
        <w:rPr>
          <w:rFonts w:ascii="仿宋" w:hAnsi="仿宋" w:eastAsia="仿宋" w:cs="仿宋_GB2312"/>
          <w:color w:val="auto"/>
          <w:sz w:val="32"/>
          <w:szCs w:val="32"/>
          <w:highlight w:val="none"/>
        </w:rPr>
      </w:pPr>
      <w:r>
        <w:rPr>
          <w:rFonts w:ascii="仿宋" w:hAnsi="仿宋" w:eastAsia="仿宋" w:cs="仿宋_GB2312"/>
          <w:color w:val="auto"/>
          <w:sz w:val="32"/>
          <w:szCs w:val="32"/>
          <w:highlight w:val="none"/>
        </w:rPr>
        <w:t>公务用车购置及运行费</w:t>
      </w:r>
      <w:r>
        <w:rPr>
          <w:rFonts w:hint="eastAsia" w:ascii="仿宋" w:hAnsi="仿宋" w:eastAsia="仿宋" w:cs="仿宋_GB2312"/>
          <w:color w:val="auto"/>
          <w:sz w:val="32"/>
          <w:szCs w:val="32"/>
          <w:highlight w:val="none"/>
        </w:rPr>
        <w:t>2.55万元(其中，公务用车</w:t>
      </w:r>
      <w:r>
        <w:rPr>
          <w:rFonts w:ascii="仿宋" w:hAnsi="仿宋" w:eastAsia="仿宋" w:cs="仿宋_GB2312"/>
          <w:color w:val="auto"/>
          <w:sz w:val="32"/>
          <w:szCs w:val="32"/>
          <w:highlight w:val="none"/>
        </w:rPr>
        <w:t>运行费</w:t>
      </w:r>
      <w:r>
        <w:rPr>
          <w:rFonts w:hint="eastAsia" w:ascii="仿宋" w:hAnsi="仿宋" w:eastAsia="仿宋" w:cs="仿宋_GB2312"/>
          <w:color w:val="auto"/>
          <w:sz w:val="32"/>
          <w:szCs w:val="32"/>
          <w:highlight w:val="none"/>
        </w:rPr>
        <w:t>2.55万元，无</w:t>
      </w:r>
      <w:r>
        <w:rPr>
          <w:rFonts w:ascii="仿宋" w:hAnsi="仿宋" w:eastAsia="仿宋" w:cs="仿宋_GB2312"/>
          <w:color w:val="auto"/>
          <w:sz w:val="32"/>
          <w:szCs w:val="32"/>
          <w:highlight w:val="none"/>
        </w:rPr>
        <w:t>公务用车购置</w:t>
      </w:r>
      <w:r>
        <w:rPr>
          <w:rFonts w:hint="eastAsia" w:ascii="仿宋" w:hAnsi="仿宋" w:eastAsia="仿宋" w:cs="仿宋_GB2312"/>
          <w:color w:val="auto"/>
          <w:sz w:val="32"/>
          <w:szCs w:val="32"/>
          <w:highlight w:val="none"/>
        </w:rPr>
        <w:t>费预算)</w:t>
      </w:r>
      <w:r>
        <w:rPr>
          <w:rFonts w:ascii="仿宋" w:hAnsi="仿宋" w:eastAsia="仿宋" w:cs="仿宋_GB2312"/>
          <w:color w:val="auto"/>
          <w:sz w:val="32"/>
          <w:szCs w:val="32"/>
          <w:highlight w:val="none"/>
        </w:rPr>
        <w:t>，与</w:t>
      </w:r>
      <w:r>
        <w:rPr>
          <w:rFonts w:hint="eastAsia" w:ascii="仿宋" w:hAnsi="仿宋" w:eastAsia="仿宋" w:cs="仿宋_GB2312"/>
          <w:color w:val="auto"/>
          <w:sz w:val="32"/>
          <w:szCs w:val="32"/>
          <w:highlight w:val="none"/>
        </w:rPr>
        <w:t>上</w:t>
      </w:r>
      <w:r>
        <w:rPr>
          <w:rFonts w:ascii="仿宋" w:hAnsi="仿宋" w:eastAsia="仿宋" w:cs="仿宋_GB2312"/>
          <w:color w:val="auto"/>
          <w:sz w:val="32"/>
          <w:szCs w:val="32"/>
          <w:highlight w:val="none"/>
        </w:rPr>
        <w:t>年预算持平。</w:t>
      </w:r>
      <w:r>
        <w:rPr>
          <w:rFonts w:hint="eastAsia" w:ascii="仿宋" w:hAnsi="仿宋" w:eastAsia="仿宋" w:cs="仿宋_GB2312"/>
          <w:color w:val="auto"/>
          <w:sz w:val="32"/>
          <w:szCs w:val="32"/>
          <w:highlight w:val="none"/>
        </w:rPr>
        <w:t>公务车保有量1辆；</w:t>
      </w:r>
      <w:r>
        <w:rPr>
          <w:rFonts w:ascii="仿宋" w:hAnsi="仿宋" w:eastAsia="仿宋" w:cs="仿宋_GB2312"/>
          <w:color w:val="auto"/>
          <w:sz w:val="32"/>
          <w:szCs w:val="32"/>
          <w:highlight w:val="none"/>
        </w:rPr>
        <w:t>公务接待费</w:t>
      </w:r>
      <w:r>
        <w:rPr>
          <w:rFonts w:hint="eastAsia" w:ascii="仿宋" w:hAnsi="仿宋" w:eastAsia="仿宋" w:cs="仿宋_GB2312"/>
          <w:color w:val="auto"/>
          <w:sz w:val="32"/>
          <w:szCs w:val="32"/>
          <w:highlight w:val="none"/>
        </w:rPr>
        <w:t>0.2</w:t>
      </w:r>
      <w:r>
        <w:rPr>
          <w:rFonts w:ascii="仿宋" w:hAnsi="仿宋" w:eastAsia="仿宋" w:cs="仿宋_GB2312"/>
          <w:color w:val="auto"/>
          <w:sz w:val="32"/>
          <w:szCs w:val="32"/>
          <w:highlight w:val="none"/>
        </w:rPr>
        <w:t>万元，</w:t>
      </w:r>
      <w:r>
        <w:rPr>
          <w:rFonts w:hint="eastAsia" w:ascii="仿宋" w:hAnsi="仿宋" w:eastAsia="仿宋" w:cs="仿宋_GB2312"/>
          <w:color w:val="auto"/>
          <w:sz w:val="32"/>
          <w:szCs w:val="32"/>
          <w:highlight w:val="none"/>
        </w:rPr>
        <w:t>较上</w:t>
      </w:r>
      <w:r>
        <w:rPr>
          <w:rFonts w:ascii="仿宋" w:hAnsi="仿宋" w:eastAsia="仿宋" w:cs="仿宋_GB2312"/>
          <w:color w:val="auto"/>
          <w:sz w:val="32"/>
          <w:szCs w:val="32"/>
          <w:highlight w:val="none"/>
        </w:rPr>
        <w:t>年</w:t>
      </w:r>
      <w:r>
        <w:rPr>
          <w:rFonts w:hint="eastAsia" w:ascii="仿宋" w:hAnsi="仿宋" w:eastAsia="仿宋" w:cs="仿宋_GB2312"/>
          <w:color w:val="auto"/>
          <w:sz w:val="32"/>
          <w:szCs w:val="32"/>
          <w:highlight w:val="none"/>
        </w:rPr>
        <w:t>预算持平</w:t>
      </w:r>
      <w:r>
        <w:rPr>
          <w:rFonts w:ascii="仿宋" w:hAnsi="仿宋" w:eastAsia="仿宋" w:cs="仿宋_GB2312"/>
          <w:color w:val="auto"/>
          <w:sz w:val="32"/>
          <w:szCs w:val="32"/>
          <w:highlight w:val="none"/>
        </w:rPr>
        <w:t>。主要原因包括：</w:t>
      </w:r>
      <w:r>
        <w:rPr>
          <w:rFonts w:hint="eastAsia" w:ascii="仿宋" w:hAnsi="仿宋" w:eastAsia="仿宋" w:cs="仿宋_GB2312"/>
          <w:color w:val="auto"/>
          <w:sz w:val="32"/>
          <w:szCs w:val="32"/>
          <w:highlight w:val="none"/>
        </w:rPr>
        <w:t>落实中央厉行节约和防疫工作要求，减少公务接待活动，从严控制公务接待规模和接待标准。计划接待5批20人次。</w:t>
      </w:r>
      <w:r>
        <w:rPr>
          <w:rFonts w:ascii="仿宋" w:hAnsi="仿宋" w:eastAsia="仿宋" w:cs="仿宋_GB2312"/>
          <w:color w:val="auto"/>
          <w:sz w:val="32"/>
          <w:szCs w:val="32"/>
          <w:highlight w:val="none"/>
        </w:rPr>
        <w:t>因公出国</w:t>
      </w:r>
      <w:r>
        <w:rPr>
          <w:rFonts w:hint="eastAsia" w:ascii="仿宋" w:hAnsi="仿宋" w:eastAsia="仿宋" w:cs="仿宋_GB2312"/>
          <w:color w:val="auto"/>
          <w:sz w:val="32"/>
          <w:szCs w:val="32"/>
          <w:highlight w:val="none"/>
        </w:rPr>
        <w:t>(</w:t>
      </w:r>
      <w:r>
        <w:rPr>
          <w:rFonts w:ascii="仿宋" w:hAnsi="仿宋" w:eastAsia="仿宋" w:cs="仿宋_GB2312"/>
          <w:color w:val="auto"/>
          <w:sz w:val="32"/>
          <w:szCs w:val="32"/>
          <w:highlight w:val="none"/>
        </w:rPr>
        <w:t>境</w:t>
      </w:r>
      <w:r>
        <w:rPr>
          <w:rFonts w:hint="eastAsia" w:ascii="仿宋" w:hAnsi="仿宋" w:eastAsia="仿宋" w:cs="仿宋_GB2312"/>
          <w:color w:val="auto"/>
          <w:sz w:val="32"/>
          <w:szCs w:val="32"/>
          <w:highlight w:val="none"/>
        </w:rPr>
        <w:t>)</w:t>
      </w:r>
      <w:r>
        <w:rPr>
          <w:rFonts w:ascii="仿宋" w:hAnsi="仿宋" w:eastAsia="仿宋" w:cs="仿宋_GB2312"/>
          <w:color w:val="auto"/>
          <w:sz w:val="32"/>
          <w:szCs w:val="32"/>
          <w:highlight w:val="none"/>
        </w:rPr>
        <w:t>经费</w:t>
      </w:r>
      <w:r>
        <w:rPr>
          <w:rFonts w:hint="eastAsia" w:ascii="仿宋" w:hAnsi="仿宋" w:eastAsia="仿宋" w:cs="仿宋_GB2312"/>
          <w:color w:val="auto"/>
          <w:sz w:val="32"/>
          <w:szCs w:val="32"/>
          <w:highlight w:val="none"/>
        </w:rPr>
        <w:t>0万元</w:t>
      </w:r>
      <w:r>
        <w:rPr>
          <w:rFonts w:ascii="仿宋" w:hAnsi="仿宋" w:eastAsia="仿宋" w:cs="仿宋_GB2312"/>
          <w:color w:val="auto"/>
          <w:sz w:val="32"/>
          <w:szCs w:val="32"/>
          <w:highlight w:val="none"/>
        </w:rPr>
        <w:t>，与</w:t>
      </w:r>
      <w:r>
        <w:rPr>
          <w:rFonts w:hint="eastAsia" w:ascii="仿宋" w:hAnsi="仿宋" w:eastAsia="仿宋" w:cs="仿宋_GB2312"/>
          <w:color w:val="auto"/>
          <w:sz w:val="32"/>
          <w:szCs w:val="32"/>
          <w:highlight w:val="none"/>
        </w:rPr>
        <w:t>上</w:t>
      </w:r>
      <w:r>
        <w:rPr>
          <w:rFonts w:ascii="仿宋" w:hAnsi="仿宋" w:eastAsia="仿宋" w:cs="仿宋_GB2312"/>
          <w:color w:val="auto"/>
          <w:sz w:val="32"/>
          <w:szCs w:val="32"/>
          <w:highlight w:val="none"/>
        </w:rPr>
        <w:t>年预算持平。</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(二)海南省价格认证中心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4年政府性基金预算“三公”经费预算数为0万元。</w:t>
      </w:r>
    </w:p>
    <w:p>
      <w:pPr>
        <w:ind w:firstLine="640" w:firstLineChars="200"/>
        <w:outlineLvl w:val="1"/>
        <w:rPr>
          <w:rFonts w:ascii="黑体" w:hAnsi="黑体" w:eastAsia="黑体" w:cs="Times New Roman"/>
          <w:color w:val="auto"/>
          <w:sz w:val="32"/>
          <w:highlight w:val="none"/>
          <w:shd w:val="clear" w:color="auto" w:fill="FFFFFF"/>
        </w:rPr>
      </w:pPr>
      <w:r>
        <w:rPr>
          <w:rFonts w:hint="eastAsia" w:ascii="黑体" w:hAnsi="黑体" w:eastAsia="黑体" w:cs="Times New Roman"/>
          <w:color w:val="auto"/>
          <w:sz w:val="32"/>
          <w:highlight w:val="none"/>
          <w:shd w:val="clear" w:color="auto" w:fill="FFFFFF"/>
        </w:rPr>
        <w:t>五、关于</w:t>
      </w:r>
      <w:r>
        <w:rPr>
          <w:rFonts w:hint="eastAsia" w:ascii="黑体" w:hAnsi="黑体" w:eastAsia="黑体"/>
          <w:color w:val="auto"/>
          <w:sz w:val="32"/>
          <w:szCs w:val="32"/>
          <w:highlight w:val="none"/>
        </w:rPr>
        <w:t>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w:t>
      </w:r>
      <w:r>
        <w:rPr>
          <w:rFonts w:hint="eastAsia" w:ascii="黑体" w:hAnsi="黑体" w:eastAsia="黑体" w:cs="Times New Roman"/>
          <w:color w:val="auto"/>
          <w:sz w:val="32"/>
          <w:highlight w:val="none"/>
          <w:shd w:val="clear" w:color="auto" w:fill="FFFFFF"/>
        </w:rPr>
        <w:t>政府性基金预算当年拨款情况说明</w:t>
      </w:r>
    </w:p>
    <w:p>
      <w:pPr>
        <w:ind w:firstLine="640"/>
        <w:jc w:val="left"/>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w:t>
      </w:r>
      <w:r>
        <w:rPr>
          <w:rFonts w:hint="eastAsia" w:ascii="仿宋" w:hAnsi="仿宋" w:eastAsia="仿宋"/>
          <w:color w:val="auto"/>
          <w:sz w:val="32"/>
          <w:szCs w:val="32"/>
          <w:highlight w:val="none"/>
        </w:rPr>
        <w:t>无政府性基金收支预算。</w:t>
      </w:r>
    </w:p>
    <w:p>
      <w:pPr>
        <w:ind w:firstLine="640" w:firstLineChars="200"/>
        <w:outlineLvl w:val="1"/>
        <w:rPr>
          <w:rFonts w:ascii="黑体" w:hAnsi="黑体" w:eastAsia="黑体" w:cs="Times New Roman"/>
          <w:color w:val="auto"/>
          <w:sz w:val="32"/>
          <w:highlight w:val="none"/>
          <w:shd w:val="clear" w:color="auto" w:fill="FFFFFF"/>
        </w:rPr>
      </w:pPr>
      <w:r>
        <w:rPr>
          <w:rFonts w:hint="eastAsia" w:ascii="黑体" w:hAnsi="黑体" w:eastAsia="黑体" w:cs="Times New Roman"/>
          <w:color w:val="auto"/>
          <w:sz w:val="32"/>
          <w:highlight w:val="none"/>
          <w:shd w:val="clear" w:color="auto" w:fill="FFFFFF"/>
        </w:rPr>
        <w:t>六、关于</w:t>
      </w:r>
      <w:r>
        <w:rPr>
          <w:rFonts w:hint="eastAsia" w:ascii="黑体" w:hAnsi="黑体" w:eastAsia="黑体"/>
          <w:color w:val="auto"/>
          <w:sz w:val="32"/>
          <w:szCs w:val="32"/>
          <w:highlight w:val="none"/>
        </w:rPr>
        <w:t>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w:t>
      </w:r>
      <w:r>
        <w:rPr>
          <w:rFonts w:hint="eastAsia" w:ascii="黑体" w:hAnsi="黑体" w:eastAsia="黑体" w:cs="Times New Roman"/>
          <w:color w:val="auto"/>
          <w:sz w:val="32"/>
          <w:highlight w:val="none"/>
          <w:shd w:val="clear" w:color="auto" w:fill="FFFFFF"/>
        </w:rPr>
        <w:t>收支预算情况的总体说明</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按照综合预算原则，海南省价格认证中心所有收入和支出均纳入部门预算管理。收入包括：一般公共预算收入；支出包括：一般公共服务支出、教育支出、社会保障和就业支出、卫生健康支出、住房保障支出。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4年收支预算</w:t>
      </w:r>
      <w:r>
        <w:rPr>
          <w:rFonts w:hint="eastAsia" w:ascii="仿宋" w:hAnsi="仿宋" w:eastAsia="仿宋" w:cs="仿宋_GB2312"/>
          <w:color w:val="auto"/>
          <w:sz w:val="32"/>
          <w:szCs w:val="32"/>
          <w:highlight w:val="none"/>
          <w:lang w:eastAsia="zh-CN"/>
        </w:rPr>
        <w:t>总额</w:t>
      </w:r>
      <w:r>
        <w:rPr>
          <w:rFonts w:hint="eastAsia" w:ascii="仿宋" w:hAnsi="仿宋" w:eastAsia="仿宋" w:cs="仿宋_GB2312"/>
          <w:color w:val="auto"/>
          <w:sz w:val="32"/>
          <w:szCs w:val="32"/>
          <w:highlight w:val="none"/>
        </w:rPr>
        <w:t>511.71万元。</w:t>
      </w:r>
      <w:bookmarkStart w:id="0" w:name="_GoBack"/>
      <w:bookmarkEnd w:id="0"/>
    </w:p>
    <w:p>
      <w:pPr>
        <w:numPr>
          <w:ilvl w:val="0"/>
          <w:numId w:val="6"/>
        </w:numPr>
        <w:ind w:firstLine="616" w:firstLineChars="200"/>
        <w:outlineLvl w:val="1"/>
        <w:rPr>
          <w:rFonts w:ascii="黑体" w:hAnsi="黑体" w:eastAsia="黑体" w:cs="Times New Roman"/>
          <w:color w:val="auto"/>
          <w:spacing w:val="-6"/>
          <w:sz w:val="32"/>
          <w:highlight w:val="none"/>
          <w:shd w:val="clear" w:color="auto" w:fill="FFFFFF"/>
        </w:rPr>
      </w:pPr>
      <w:r>
        <w:rPr>
          <w:rFonts w:hint="eastAsia" w:ascii="黑体" w:hAnsi="黑体" w:eastAsia="黑体" w:cs="Times New Roman"/>
          <w:color w:val="auto"/>
          <w:spacing w:val="-6"/>
          <w:sz w:val="32"/>
          <w:highlight w:val="none"/>
          <w:shd w:val="clear" w:color="auto" w:fill="FFFFFF"/>
        </w:rPr>
        <w:t>关于</w:t>
      </w:r>
      <w:r>
        <w:rPr>
          <w:rFonts w:hint="eastAsia" w:ascii="黑体" w:hAnsi="黑体" w:eastAsia="黑体"/>
          <w:color w:val="auto"/>
          <w:spacing w:val="-6"/>
          <w:sz w:val="32"/>
          <w:szCs w:val="32"/>
          <w:highlight w:val="none"/>
        </w:rPr>
        <w:t>海南省价格认证中心</w:t>
      </w:r>
      <w:r>
        <w:rPr>
          <w:rFonts w:ascii="黑体" w:hAnsi="黑体" w:eastAsia="黑体"/>
          <w:color w:val="auto"/>
          <w:spacing w:val="-6"/>
          <w:sz w:val="32"/>
          <w:szCs w:val="32"/>
          <w:highlight w:val="none"/>
        </w:rPr>
        <w:t>202</w:t>
      </w:r>
      <w:r>
        <w:rPr>
          <w:rFonts w:hint="eastAsia" w:ascii="黑体" w:hAnsi="黑体" w:eastAsia="黑体"/>
          <w:color w:val="auto"/>
          <w:spacing w:val="-6"/>
          <w:sz w:val="32"/>
          <w:szCs w:val="32"/>
          <w:highlight w:val="none"/>
        </w:rPr>
        <w:t>4年</w:t>
      </w:r>
      <w:r>
        <w:rPr>
          <w:rFonts w:hint="eastAsia" w:ascii="黑体" w:hAnsi="黑体" w:eastAsia="黑体" w:cs="Times New Roman"/>
          <w:color w:val="auto"/>
          <w:spacing w:val="-6"/>
          <w:sz w:val="32"/>
          <w:highlight w:val="none"/>
          <w:shd w:val="clear" w:color="auto" w:fill="FFFFFF"/>
        </w:rPr>
        <w:t>收入预算情况说明</w:t>
      </w:r>
    </w:p>
    <w:p>
      <w:pPr>
        <w:numPr>
          <w:ilvl w:val="255"/>
          <w:numId w:val="0"/>
        </w:num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4年收入预算511.71万元，其中：经费拨款收入511.71万元，占100%；无上年结转；无政府性基金收入和专项收入。比上年预算数增加23.81万元，主要是主要是</w:t>
      </w:r>
      <w:r>
        <w:rPr>
          <w:rFonts w:hint="eastAsia" w:ascii="仿宋" w:hAnsi="仿宋" w:eastAsia="仿宋"/>
          <w:color w:val="auto"/>
          <w:sz w:val="32"/>
          <w:szCs w:val="32"/>
          <w:highlight w:val="none"/>
        </w:rPr>
        <w:t>人员经费和公用经费增加</w:t>
      </w:r>
      <w:r>
        <w:rPr>
          <w:rFonts w:hint="eastAsia" w:ascii="仿宋" w:hAnsi="仿宋" w:eastAsia="仿宋" w:cs="仿宋_GB2312"/>
          <w:color w:val="auto"/>
          <w:sz w:val="32"/>
          <w:szCs w:val="32"/>
          <w:highlight w:val="none"/>
        </w:rPr>
        <w:t>。</w:t>
      </w:r>
    </w:p>
    <w:p>
      <w:pPr>
        <w:ind w:firstLine="616" w:firstLineChars="200"/>
        <w:outlineLvl w:val="1"/>
        <w:rPr>
          <w:rFonts w:ascii="黑体" w:hAnsi="黑体" w:eastAsia="黑体" w:cs="Times New Roman"/>
          <w:color w:val="auto"/>
          <w:spacing w:val="-6"/>
          <w:sz w:val="32"/>
          <w:highlight w:val="none"/>
          <w:shd w:val="clear" w:color="auto" w:fill="FFFFFF"/>
        </w:rPr>
      </w:pPr>
      <w:r>
        <w:rPr>
          <w:rFonts w:hint="eastAsia" w:ascii="黑体" w:hAnsi="黑体" w:eastAsia="黑体" w:cs="Times New Roman"/>
          <w:color w:val="auto"/>
          <w:spacing w:val="-6"/>
          <w:sz w:val="32"/>
          <w:highlight w:val="none"/>
          <w:shd w:val="clear" w:color="auto" w:fill="FFFFFF"/>
        </w:rPr>
        <w:t>八、关于</w:t>
      </w:r>
      <w:r>
        <w:rPr>
          <w:rFonts w:hint="eastAsia" w:ascii="黑体" w:hAnsi="黑体" w:eastAsia="黑体"/>
          <w:color w:val="auto"/>
          <w:sz w:val="32"/>
          <w:szCs w:val="32"/>
          <w:highlight w:val="none"/>
        </w:rPr>
        <w:t>海南省价格认证中心</w:t>
      </w:r>
      <w:r>
        <w:rPr>
          <w:rFonts w:ascii="黑体" w:hAnsi="黑体" w:eastAsia="黑体"/>
          <w:color w:val="auto"/>
          <w:sz w:val="32"/>
          <w:szCs w:val="32"/>
          <w:highlight w:val="none"/>
        </w:rPr>
        <w:t>202</w:t>
      </w:r>
      <w:r>
        <w:rPr>
          <w:rFonts w:hint="eastAsia" w:ascii="黑体" w:hAnsi="黑体" w:eastAsia="黑体"/>
          <w:color w:val="auto"/>
          <w:sz w:val="32"/>
          <w:szCs w:val="32"/>
          <w:highlight w:val="none"/>
        </w:rPr>
        <w:t>4年</w:t>
      </w:r>
      <w:r>
        <w:rPr>
          <w:rFonts w:hint="eastAsia" w:ascii="黑体" w:hAnsi="黑体" w:eastAsia="黑体" w:cs="Times New Roman"/>
          <w:color w:val="auto"/>
          <w:spacing w:val="-6"/>
          <w:sz w:val="32"/>
          <w:highlight w:val="none"/>
          <w:shd w:val="clear" w:color="auto" w:fill="FFFFFF"/>
        </w:rPr>
        <w:t>支出预算情况说明</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4年支出预算511.71万元，其中：基本支出459.71万元，占89.84%；项目支出52万元，占10.16%。比上年预算数增加23.81万元，主要是</w:t>
      </w:r>
      <w:r>
        <w:rPr>
          <w:rFonts w:hint="eastAsia" w:ascii="仿宋" w:hAnsi="仿宋" w:eastAsia="仿宋"/>
          <w:color w:val="auto"/>
          <w:sz w:val="32"/>
          <w:szCs w:val="32"/>
          <w:highlight w:val="none"/>
        </w:rPr>
        <w:t>人员经费和公用经费增加</w:t>
      </w:r>
      <w:r>
        <w:rPr>
          <w:rFonts w:hint="eastAsia" w:ascii="仿宋" w:hAnsi="仿宋" w:eastAsia="仿宋" w:cs="仿宋_GB2312"/>
          <w:color w:val="auto"/>
          <w:sz w:val="32"/>
          <w:szCs w:val="32"/>
          <w:highlight w:val="none"/>
        </w:rPr>
        <w:t>。</w:t>
      </w:r>
    </w:p>
    <w:p>
      <w:pPr>
        <w:ind w:firstLine="640" w:firstLineChars="200"/>
        <w:outlineLvl w:val="1"/>
        <w:rPr>
          <w:rFonts w:ascii="黑体" w:hAnsi="黑体" w:eastAsia="黑体" w:cs="Times New Roman"/>
          <w:color w:val="auto"/>
          <w:sz w:val="32"/>
          <w:highlight w:val="none"/>
          <w:shd w:val="clear" w:color="auto" w:fill="FFFFFF"/>
        </w:rPr>
      </w:pPr>
      <w:r>
        <w:rPr>
          <w:rFonts w:hint="eastAsia" w:ascii="黑体" w:hAnsi="黑体" w:eastAsia="黑体" w:cs="Times New Roman"/>
          <w:color w:val="auto"/>
          <w:sz w:val="32"/>
          <w:highlight w:val="none"/>
          <w:shd w:val="clear" w:color="auto" w:fill="FFFFFF"/>
        </w:rPr>
        <w:t>九、其他重要事项的情况说明</w:t>
      </w:r>
    </w:p>
    <w:p>
      <w:pPr>
        <w:ind w:firstLine="640" w:firstLineChars="200"/>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(一)机关运行经费(行政单位、参照公务员法管理的事业单位需说明，其他单位不需要说明)</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海南省价格认证中心为公益一类事业单位，不需要说明</w:t>
      </w:r>
    </w:p>
    <w:p>
      <w:pPr>
        <w:ind w:firstLine="640" w:firstLineChars="200"/>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(二)政府采购情况</w:t>
      </w:r>
    </w:p>
    <w:p>
      <w:pPr>
        <w:ind w:firstLine="640" w:firstLineChars="200"/>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海南省价格认证中心</w:t>
      </w: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4年政府采购预算总额2.05</w:t>
      </w:r>
      <w:r>
        <w:rPr>
          <w:rFonts w:hint="eastAsia" w:ascii="仿宋" w:hAnsi="仿宋" w:eastAsia="仿宋"/>
          <w:color w:val="auto"/>
          <w:sz w:val="32"/>
          <w:szCs w:val="32"/>
          <w:highlight w:val="none"/>
        </w:rPr>
        <w:t>万元，其中：政府采购货物预算</w:t>
      </w:r>
      <w:r>
        <w:rPr>
          <w:rFonts w:hint="eastAsia" w:ascii="仿宋" w:hAnsi="仿宋" w:eastAsia="仿宋" w:cs="仿宋_GB2312"/>
          <w:color w:val="auto"/>
          <w:sz w:val="32"/>
          <w:szCs w:val="32"/>
          <w:highlight w:val="none"/>
        </w:rPr>
        <w:t>2.05</w:t>
      </w:r>
      <w:r>
        <w:rPr>
          <w:rFonts w:hint="eastAsia" w:ascii="仿宋" w:hAnsi="仿宋" w:eastAsia="仿宋"/>
          <w:color w:val="auto"/>
          <w:sz w:val="32"/>
          <w:szCs w:val="32"/>
          <w:highlight w:val="none"/>
        </w:rPr>
        <w:t>万元。</w:t>
      </w:r>
    </w:p>
    <w:p>
      <w:pPr>
        <w:ind w:firstLine="640" w:firstLineChars="200"/>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(三)国有资产占有使用情况</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截至2023年12月31日，海南省价格认证中心共有车辆1辆(其他业务用车1辆)，无领导干部用车、机要通信应急用车、一般执法执勤用车、特种专业技术用车。单位无价值100万元以上设备。</w:t>
      </w:r>
    </w:p>
    <w:p>
      <w:pPr>
        <w:ind w:firstLine="640" w:firstLineChars="200"/>
        <w:outlineLvl w:val="2"/>
        <w:rPr>
          <w:rFonts w:ascii="楷体" w:hAnsi="楷体" w:eastAsia="楷体"/>
          <w:color w:val="auto"/>
          <w:sz w:val="32"/>
          <w:szCs w:val="32"/>
          <w:highlight w:val="none"/>
        </w:rPr>
      </w:pPr>
      <w:r>
        <w:rPr>
          <w:rFonts w:hint="eastAsia" w:ascii="楷体" w:hAnsi="楷体" w:eastAsia="楷体"/>
          <w:color w:val="auto"/>
          <w:sz w:val="32"/>
          <w:szCs w:val="32"/>
          <w:highlight w:val="none"/>
        </w:rPr>
        <w:t>(四)绩效目标设置情况</w:t>
      </w:r>
    </w:p>
    <w:p>
      <w:pPr>
        <w:ind w:firstLine="640" w:firstLineChars="200"/>
        <w:rPr>
          <w:rFonts w:ascii="仿宋" w:hAnsi="仿宋" w:eastAsia="仿宋" w:cs="仿宋_GB2312"/>
          <w:color w:val="auto"/>
          <w:sz w:val="32"/>
          <w:szCs w:val="32"/>
          <w:highlight w:val="none"/>
        </w:rPr>
      </w:pPr>
      <w:r>
        <w:rPr>
          <w:rFonts w:ascii="仿宋" w:hAnsi="仿宋" w:eastAsia="仿宋" w:cs="仿宋_GB2312"/>
          <w:color w:val="auto"/>
          <w:sz w:val="32"/>
          <w:szCs w:val="32"/>
          <w:highlight w:val="none"/>
        </w:rPr>
        <w:t>202</w:t>
      </w:r>
      <w:r>
        <w:rPr>
          <w:rFonts w:hint="eastAsia" w:ascii="仿宋" w:hAnsi="仿宋" w:eastAsia="仿宋" w:cs="仿宋_GB2312"/>
          <w:color w:val="auto"/>
          <w:sz w:val="32"/>
          <w:szCs w:val="32"/>
          <w:highlight w:val="none"/>
        </w:rPr>
        <w:t>4年海南省价格认证中心9个项目实行绩效目标管理，涉及一般公共预算511.71万元。</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其中，重点项目预算绩效情况：</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1.公用支出项目，预算安排55.43万元，主要用于保障单位日常运转的各项费用，绩效目标是保障单位日常运转，提高预算编制质量，严格执行预算。</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2.人员经费项目(包括工资奖金津贴、社保缴费、住房公积金、</w:t>
      </w:r>
      <w:r>
        <w:rPr>
          <w:rFonts w:hint="eastAsia" w:ascii="仿宋" w:hAnsi="仿宋" w:eastAsia="仿宋" w:cs="仿宋_GB2312"/>
          <w:color w:val="auto"/>
          <w:spacing w:val="-4"/>
          <w:sz w:val="32"/>
          <w:szCs w:val="32"/>
          <w:highlight w:val="none"/>
        </w:rPr>
        <w:t>其他工资福利支出</w:t>
      </w:r>
      <w:r>
        <w:rPr>
          <w:rFonts w:hint="eastAsia" w:ascii="仿宋" w:hAnsi="仿宋" w:eastAsia="仿宋" w:cs="仿宋_GB2312"/>
          <w:color w:val="auto"/>
          <w:sz w:val="32"/>
          <w:szCs w:val="32"/>
          <w:highlight w:val="none"/>
        </w:rPr>
        <w:t>共7个项目，预算安排404.28万元，主要用于保障人员工资发放和社保、公积金缴纳各项费用，绩效目标是严格执行相关政策，保障工资、社保、公积金及时发放、足额发放，预算编制科学合理，减少结余资金。</w:t>
      </w:r>
    </w:p>
    <w:p>
      <w:pPr>
        <w:ind w:firstLine="640" w:firstLineChars="2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3.“综合运行事务”项目，预算安排52万元，主要用于对纪检监察机关、公检法机关及行政执法机关涉案财务进行价格认定及指导市县价格认定工作。绩效目标是：如期完成当年价格认定业务；指导、督导全省市县价格认定工作；组织全省价格认定工作会议；组织全省价格认定人员参加各类业务培训；按时完成课题研究和调研工作。</w:t>
      </w:r>
    </w:p>
    <w:p>
      <w:pPr>
        <w:widowControl/>
        <w:jc w:val="left"/>
        <w:outlineLvl w:val="0"/>
        <w:rPr>
          <w:rFonts w:hint="eastAsia" w:ascii="黑体" w:hAnsi="黑体" w:eastAsia="黑体"/>
          <w:b/>
          <w:color w:val="auto"/>
          <w:sz w:val="32"/>
          <w:szCs w:val="32"/>
          <w:highlight w:val="none"/>
        </w:rPr>
      </w:pPr>
    </w:p>
    <w:p>
      <w:pPr>
        <w:widowControl/>
        <w:jc w:val="center"/>
        <w:outlineLvl w:val="0"/>
        <w:rPr>
          <w:rFonts w:ascii="黑体" w:hAnsi="黑体" w:eastAsia="黑体"/>
          <w:b/>
          <w:color w:val="auto"/>
          <w:sz w:val="32"/>
          <w:szCs w:val="32"/>
          <w:highlight w:val="none"/>
        </w:rPr>
      </w:pPr>
      <w:r>
        <w:rPr>
          <w:rFonts w:hint="eastAsia" w:ascii="黑体" w:hAnsi="黑体" w:eastAsia="黑体"/>
          <w:b/>
          <w:color w:val="auto"/>
          <w:sz w:val="32"/>
          <w:szCs w:val="32"/>
          <w:highlight w:val="none"/>
        </w:rPr>
        <w:t>第四部分  名词解释</w:t>
      </w:r>
    </w:p>
    <w:p>
      <w:pPr>
        <w:ind w:firstLine="640" w:firstLineChars="200"/>
        <w:jc w:val="left"/>
        <w:rPr>
          <w:rFonts w:ascii="仿宋_GB2312" w:eastAsia="仿宋_GB2312" w:cs="宋体"/>
          <w:bCs/>
          <w:color w:val="auto"/>
          <w:kern w:val="0"/>
          <w:sz w:val="32"/>
          <w:szCs w:val="32"/>
          <w:highlight w:val="none"/>
          <w:lang w:val="zh-CN"/>
        </w:rPr>
      </w:pP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一、财政拨款收入：指本级财政当年拨付的资金。</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二、一般公共预算拨款收入：指用于反映税收收入、专项收入、行政事业性收费收入、罚没收入、国有资源(资产)有偿使用收入、政府住房基金收入、捐赠收入等财政收入。</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三、政府性基金预算拨款收入：指是用于反映政府为支持某项事业发展或特定基础设施建设，依法依规向公民、法人和其他组织征收的以及出让土地、发行彩票等方式取得的具有专门用途的资金</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 xml:space="preserve">四、事业收入：指用于反映事业单位开展专业业务活动及辅助活动所取得的收入。 </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五、事业单位经营收入：指用于反映事业单位在专业活动及辅助活动之外开展非独立核算经营活动取得的收入。</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六、其他收入：指除上述“财政拨款收入”“事业收入”“经营收入”等以外的收入。</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七、上年结转：指以前年度尚未完成、结转到本年按有关规定继续使用的资金。</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八、基本支出：指行政事业单位用于为保障其机构正常运转、完成日常工作任务而发生的人员支出和公用支出。</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九、工资福利支出：反映单位开支的在职职工和编制外长期聘用人员的各类劳动报酬，以及为上述人员缴纳的各项社会保险费等。</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十、对个人和家庭的补助支出：反映政府用于对个人和家庭的补助支出，包括离休费、退休费、退职(役)费、抚恤金、生活补助、救济费、医疗费补助、助学金、独生子女奖励金、其他等。</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十二、项目支出：指各部门、各单位为完成其特定的工作任务和事业发展目标所发生的支出。</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460" w:lineRule="exact"/>
        <w:ind w:firstLine="600" w:firstLineChars="200"/>
        <w:jc w:val="left"/>
        <w:rPr>
          <w:rFonts w:ascii="仿宋_GB2312" w:hAnsi="宋体" w:eastAsia="仿宋_GB2312" w:cs="宋体"/>
          <w:color w:val="auto"/>
          <w:kern w:val="0"/>
          <w:sz w:val="30"/>
          <w:szCs w:val="30"/>
          <w:highlight w:val="none"/>
        </w:rPr>
      </w:pPr>
      <w:r>
        <w:rPr>
          <w:rFonts w:hint="eastAsia" w:ascii="仿宋_GB2312" w:hAnsi="宋体" w:eastAsia="仿宋_GB2312" w:cs="宋体"/>
          <w:color w:val="auto"/>
          <w:kern w:val="0"/>
          <w:sz w:val="30"/>
          <w:szCs w:val="30"/>
          <w:highlight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color w:val="auto"/>
          <w:sz w:val="32"/>
          <w:szCs w:val="32"/>
          <w:highlight w:val="none"/>
        </w:rPr>
      </w:pPr>
    </w:p>
    <w:p>
      <w:pPr>
        <w:ind w:firstLine="640" w:firstLineChars="200"/>
        <w:jc w:val="left"/>
        <w:rPr>
          <w:rFonts w:ascii="仿宋_GB2312" w:hAnsi="黑体" w:eastAsia="仿宋_GB2312" w:cs="仿宋_GB2312"/>
          <w:color w:val="auto"/>
          <w:sz w:val="32"/>
          <w:szCs w:val="32"/>
          <w:highlight w:val="none"/>
        </w:rPr>
      </w:pPr>
    </w:p>
    <w:p>
      <w:pPr>
        <w:ind w:firstLine="640" w:firstLineChars="200"/>
        <w:jc w:val="left"/>
        <w:rPr>
          <w:rFonts w:ascii="仿宋_GB2312" w:hAnsi="黑体" w:eastAsia="仿宋_GB2312" w:cs="仿宋_GB2312"/>
          <w:color w:val="auto"/>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icrosoft YaHei">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66E06F"/>
    <w:multiLevelType w:val="singleLevel"/>
    <w:tmpl w:val="DB66E06F"/>
    <w:lvl w:ilvl="0" w:tentative="0">
      <w:start w:val="7"/>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xOTAxNWY3Y2VkNjdmN2JkZGY2Yjg4NjhiMjgwN2IifQ=="/>
  </w:docVars>
  <w:rsids>
    <w:rsidRoot w:val="001D09B1"/>
    <w:rsid w:val="00113543"/>
    <w:rsid w:val="00185939"/>
    <w:rsid w:val="001D09B1"/>
    <w:rsid w:val="00235DFA"/>
    <w:rsid w:val="002F6709"/>
    <w:rsid w:val="00303EE4"/>
    <w:rsid w:val="00416320"/>
    <w:rsid w:val="00444B70"/>
    <w:rsid w:val="004B61EC"/>
    <w:rsid w:val="006020A9"/>
    <w:rsid w:val="006C2807"/>
    <w:rsid w:val="006E191F"/>
    <w:rsid w:val="006E5416"/>
    <w:rsid w:val="00702D56"/>
    <w:rsid w:val="0071281A"/>
    <w:rsid w:val="008A1EBE"/>
    <w:rsid w:val="00963F58"/>
    <w:rsid w:val="009B313D"/>
    <w:rsid w:val="009E30A5"/>
    <w:rsid w:val="00A53684"/>
    <w:rsid w:val="00AB0F31"/>
    <w:rsid w:val="00B242C2"/>
    <w:rsid w:val="00BF7A7A"/>
    <w:rsid w:val="00C10D2C"/>
    <w:rsid w:val="00CB2830"/>
    <w:rsid w:val="00D43A75"/>
    <w:rsid w:val="00D961FA"/>
    <w:rsid w:val="00DE1AA3"/>
    <w:rsid w:val="00ED149C"/>
    <w:rsid w:val="00F33E96"/>
    <w:rsid w:val="0285020E"/>
    <w:rsid w:val="028929B1"/>
    <w:rsid w:val="08186252"/>
    <w:rsid w:val="26515B3A"/>
    <w:rsid w:val="27F546C3"/>
    <w:rsid w:val="29D0625F"/>
    <w:rsid w:val="2CFFD3C3"/>
    <w:rsid w:val="32273C8F"/>
    <w:rsid w:val="37DF1B78"/>
    <w:rsid w:val="37F72BDE"/>
    <w:rsid w:val="3DF6C398"/>
    <w:rsid w:val="3DF8760F"/>
    <w:rsid w:val="3F7E44B9"/>
    <w:rsid w:val="3FCBB96C"/>
    <w:rsid w:val="57F7DF38"/>
    <w:rsid w:val="5DEF962E"/>
    <w:rsid w:val="5EB7A805"/>
    <w:rsid w:val="697F1CF2"/>
    <w:rsid w:val="6BE24D01"/>
    <w:rsid w:val="6FCF6ED8"/>
    <w:rsid w:val="6FDB1131"/>
    <w:rsid w:val="73CF45A9"/>
    <w:rsid w:val="77FC7AAA"/>
    <w:rsid w:val="79E26807"/>
    <w:rsid w:val="79FEAF03"/>
    <w:rsid w:val="7B026804"/>
    <w:rsid w:val="7BD703BA"/>
    <w:rsid w:val="7BF736D2"/>
    <w:rsid w:val="7BFD407F"/>
    <w:rsid w:val="7C5AC9AF"/>
    <w:rsid w:val="7EFDD520"/>
    <w:rsid w:val="7F3F1867"/>
    <w:rsid w:val="7F8F255B"/>
    <w:rsid w:val="7FA16D18"/>
    <w:rsid w:val="7FBFDBDD"/>
    <w:rsid w:val="7FF7F3E6"/>
    <w:rsid w:val="7FFEEBA9"/>
    <w:rsid w:val="7FFF8DD0"/>
    <w:rsid w:val="7FFFDC33"/>
    <w:rsid w:val="8AFA0ABB"/>
    <w:rsid w:val="ABBF3834"/>
    <w:rsid w:val="B7FF3656"/>
    <w:rsid w:val="BF7FB740"/>
    <w:rsid w:val="BFB4EFCA"/>
    <w:rsid w:val="BFEFF61B"/>
    <w:rsid w:val="C7FF1FAD"/>
    <w:rsid w:val="D77D3334"/>
    <w:rsid w:val="D7FA87FF"/>
    <w:rsid w:val="D957D50E"/>
    <w:rsid w:val="D97F626E"/>
    <w:rsid w:val="DEC334AD"/>
    <w:rsid w:val="DEFBA60D"/>
    <w:rsid w:val="DF5F3D0D"/>
    <w:rsid w:val="E5FBE3E0"/>
    <w:rsid w:val="E8CDB046"/>
    <w:rsid w:val="EDEE0EBE"/>
    <w:rsid w:val="EF4F270F"/>
    <w:rsid w:val="EFBD0F26"/>
    <w:rsid w:val="F3FB88EC"/>
    <w:rsid w:val="F6EF932B"/>
    <w:rsid w:val="F7B6C629"/>
    <w:rsid w:val="FAAF0D0C"/>
    <w:rsid w:val="FB739167"/>
    <w:rsid w:val="FB7F57C2"/>
    <w:rsid w:val="FBEF4AFA"/>
    <w:rsid w:val="FC6FBB23"/>
    <w:rsid w:val="FEFF2817"/>
    <w:rsid w:val="FF5F0C2A"/>
    <w:rsid w:val="FF5F5C3D"/>
    <w:rsid w:val="FF7C1A10"/>
    <w:rsid w:val="FF8DCAE2"/>
    <w:rsid w:val="FFFFE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列出段落11"/>
    <w:basedOn w:val="1"/>
    <w:qFormat/>
    <w:uiPriority w:val="34"/>
    <w:pPr>
      <w:ind w:firstLine="420" w:firstLineChars="200"/>
    </w:pPr>
  </w:style>
  <w:style w:type="paragraph" w:customStyle="1" w:styleId="11">
    <w:name w:val="无间隔1"/>
    <w:qFormat/>
    <w:uiPriority w:val="0"/>
    <w:pPr>
      <w:ind w:firstLine="200" w:firstLineChars="200"/>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692</Words>
  <Characters>3945</Characters>
  <Lines>32</Lines>
  <Paragraphs>9</Paragraphs>
  <TotalTime>0</TotalTime>
  <ScaleCrop>false</ScaleCrop>
  <LinksUpToDate>false</LinksUpToDate>
  <CharactersWithSpaces>4628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2017-02-09T07:31:00Z</dcterms:created>
  <dc:creator>null,null,总收发</dc:creator>
  <cp:lastModifiedBy>uos</cp:lastModifiedBy>
  <cp:lastPrinted>2024-02-02T23:00:00Z</cp:lastPrinted>
  <dcterms:modified xsi:type="dcterms:W3CDTF">2024-03-20T15:41:12Z</dcterms:modified>
  <dc:title>××年××部门（单位）预算</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218F4860967B4704A59D00FFD9136CB4</vt:lpwstr>
  </property>
</Properties>
</file>